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Inter Partes Review violates public rights analysis – that causes Congressional deviation from the constitution – removing it solves</w:t>
      </w:r>
    </w:p>
    <w:p>
      <w:pPr>
        <w:spacing w:after="80"/>
      </w:pPr>
      <w:r>
        <w:rPr>
          <w:b/>
          <w:i w:val="0"/>
          <w:smallCaps w:val="0"/>
          <w:strike w:val="0"/>
          <w:sz w:val="24"/>
          <w:u w:val="none"/>
        </w:rPr>
        <w:t>Cooper 15</w:t>
      </w:r>
      <w:r>
        <w:rPr>
          <w:b w:val="0"/>
          <w:i w:val="0"/>
          <w:smallCaps w:val="0"/>
          <w:strike w:val="0"/>
          <w:sz w:val="20"/>
          <w:u w:val="none"/>
        </w:rPr>
        <w:t xml:space="preserve"> (J. Carl Cooper, 5/8/15, “J. CARL COOPER AND ECHARGE LICENSING LLC V. MICHELLE K. LEE - PETITION FOR A WRIT OF CERTIORARI”, </w:t>
      </w:r>
      <w:r>
        <w:rPr>
          <w:b w:val="0"/>
          <w:i w:val="0"/>
          <w:smallCaps w:val="0"/>
          <w:strike w:val="0"/>
          <w:sz w:val="20"/>
          <w:u w:val="none"/>
        </w:rPr>
        <w:t xml:space="preserve">, </w:t>
      </w:r>
      <w:r>
        <w:rPr>
          <w:b w:val="0"/>
          <w:i w:val="0"/>
          <w:smallCaps w:val="0"/>
          <w:strike w:val="0"/>
          <w:sz w:val="20"/>
          <w:u w:val="none"/>
        </w:rPr>
        <w:t>A.Jay</w:t>
      </w:r>
      <w:r>
        <w:rPr>
          <w:b w:val="0"/>
          <w:i w:val="0"/>
          <w:smallCaps w:val="0"/>
          <w:strike w:val="0"/>
          <w:sz w:val="20"/>
          <w:u w:val="none"/>
        </w:rPr>
        <w:t>)</w:t>
      </w:r>
    </w:p>
    <w:p>
      <w:pPr>
        <w:spacing w:after="60"/>
      </w:pPr>
      <w:r>
        <w:rPr>
          <w:b w:val="0"/>
          <w:i w:val="0"/>
          <w:smallCaps w:val="0"/>
          <w:strike w:val="0"/>
          <w:sz w:val="20"/>
          <w:highlight w:val="cyan"/>
          <w:u w:val="single"/>
        </w:rPr>
        <w:t>Stern</w:t>
      </w:r>
      <w:r>
        <w:rPr>
          <w:b w:val="0"/>
          <w:i w:val="0"/>
          <w:smallCaps w:val="0"/>
          <w:strike w:val="0"/>
          <w:sz w:val="20"/>
          <w:u w:val="single"/>
        </w:rPr>
        <w:t xml:space="preserve"> v. Marshall</w:t>
      </w:r>
      <w:r>
        <w:rPr>
          <w:b w:val="0"/>
          <w:i w:val="0"/>
          <w:smallCaps w:val="0"/>
          <w:strike w:val="0"/>
          <w:sz w:val="20"/>
          <w:u w:val="single"/>
        </w:rPr>
        <w:t xml:space="preserve"> </w:t>
      </w:r>
      <w:r>
        <w:rPr>
          <w:b w:val="0"/>
          <w:i w:val="0"/>
          <w:smallCaps w:val="0"/>
          <w:strike w:val="0"/>
          <w:sz w:val="20"/>
          <w:highlight w:val="cyan"/>
          <w:u w:val="single"/>
        </w:rPr>
        <w:t>announced one straightforward</w:t>
      </w:r>
      <w:r>
        <w:rPr>
          <w:b w:val="0"/>
          <w:i w:val="0"/>
          <w:smallCaps w:val="0"/>
          <w:strike w:val="0"/>
          <w:sz w:val="20"/>
          <w:u w:val="single"/>
        </w:rPr>
        <w:t xml:space="preserve"> legal </w:t>
      </w:r>
      <w:r>
        <w:rPr>
          <w:b w:val="0"/>
          <w:i w:val="0"/>
          <w:smallCaps w:val="0"/>
          <w:strike w:val="0"/>
          <w:sz w:val="20"/>
          <w:highlight w:val="cyan"/>
          <w:u w:val="single"/>
        </w:rPr>
        <w:t>standard to inform</w:t>
      </w:r>
      <w:r>
        <w:rPr>
          <w:b w:val="0"/>
          <w:i w:val="0"/>
          <w:smallCaps w:val="0"/>
          <w:strike w:val="0"/>
          <w:sz w:val="16"/>
          <w:u w:val="none"/>
        </w:rPr>
        <w:t xml:space="preserve"> future </w:t>
      </w:r>
      <w:r>
        <w:rPr>
          <w:b w:val="0"/>
          <w:i w:val="0"/>
          <w:smallCaps w:val="0"/>
          <w:strike w:val="0"/>
          <w:sz w:val="20"/>
          <w:u w:val="single"/>
        </w:rPr>
        <w:t>“</w:t>
      </w:r>
      <w:r>
        <w:rPr>
          <w:b w:val="0"/>
          <w:i w:val="0"/>
          <w:smallCaps w:val="0"/>
          <w:strike w:val="0"/>
          <w:sz w:val="20"/>
          <w:highlight w:val="cyan"/>
          <w:u w:val="single"/>
        </w:rPr>
        <w:t>public rights” analyses</w:t>
      </w:r>
      <w:r>
        <w:rPr>
          <w:b w:val="0"/>
          <w:i w:val="0"/>
          <w:smallCaps w:val="0"/>
          <w:strike w:val="0"/>
          <w:sz w:val="20"/>
          <w:highlight w:val="cyan"/>
          <w:u w:val="single"/>
        </w:rPr>
        <w:t>: the “</w:t>
      </w:r>
      <w:r>
        <w:rPr>
          <w:b w:val="0"/>
          <w:i w:val="0"/>
          <w:smallCaps w:val="0"/>
          <w:strike w:val="0"/>
          <w:sz w:val="20"/>
          <w:highlight w:val="cyan"/>
          <w:u w:val="single"/>
        </w:rPr>
        <w:t>historical antecedents” test</w:t>
      </w:r>
      <w:r>
        <w:rPr>
          <w:b w:val="0"/>
          <w:i w:val="0"/>
          <w:smallCaps w:val="0"/>
          <w:strike w:val="0"/>
          <w:sz w:val="20"/>
          <w:highlight w:val="cyan"/>
          <w:u w:val="single"/>
        </w:rPr>
        <w:t>. If</w:t>
      </w:r>
      <w:r>
        <w:rPr>
          <w:b w:val="0"/>
          <w:i w:val="0"/>
          <w:smallCaps w:val="0"/>
          <w:strike w:val="0"/>
          <w:sz w:val="20"/>
          <w:u w:val="single"/>
        </w:rPr>
        <w:t xml:space="preserve"> a </w:t>
      </w:r>
      <w:r>
        <w:rPr>
          <w:b w:val="0"/>
          <w:i w:val="0"/>
          <w:smallCaps w:val="0"/>
          <w:strike w:val="0"/>
          <w:sz w:val="20"/>
          <w:highlight w:val="cyan"/>
          <w:u w:val="single"/>
        </w:rPr>
        <w:t>claim existed at common law in 1789</w:t>
      </w:r>
      <w:r>
        <w:rPr>
          <w:b w:val="0"/>
          <w:i w:val="0"/>
          <w:smallCaps w:val="0"/>
          <w:strike w:val="0"/>
          <w:sz w:val="20"/>
          <w:u w:val="single"/>
        </w:rPr>
        <w:t xml:space="preserve">, its </w:t>
      </w:r>
      <w:r>
        <w:rPr>
          <w:b w:val="0"/>
          <w:i w:val="0"/>
          <w:smallCaps w:val="0"/>
          <w:strike w:val="0"/>
          <w:sz w:val="20"/>
          <w:highlight w:val="cyan"/>
          <w:u w:val="single"/>
        </w:rPr>
        <w:t>resolution implicates</w:t>
      </w:r>
      <w:r>
        <w:rPr>
          <w:b w:val="0"/>
          <w:i w:val="0"/>
          <w:smallCaps w:val="0"/>
          <w:strike w:val="0"/>
          <w:sz w:val="20"/>
          <w:u w:val="single"/>
        </w:rPr>
        <w:t xml:space="preserve"> the “</w:t>
      </w:r>
      <w:r>
        <w:rPr>
          <w:b w:val="0"/>
          <w:i w:val="0"/>
          <w:smallCaps w:val="0"/>
          <w:strike w:val="0"/>
          <w:sz w:val="20"/>
          <w:highlight w:val="cyan"/>
          <w:u w:val="single"/>
        </w:rPr>
        <w:t>judicial power</w:t>
      </w:r>
      <w:r>
        <w:rPr>
          <w:b w:val="0"/>
          <w:i w:val="0"/>
          <w:smallCaps w:val="0"/>
          <w:strike w:val="0"/>
          <w:sz w:val="20"/>
          <w:u w:val="single"/>
        </w:rPr>
        <w:t xml:space="preserve">,” and a </w:t>
      </w:r>
      <w:r>
        <w:rPr>
          <w:b w:val="0"/>
          <w:i w:val="0"/>
          <w:smallCaps w:val="0"/>
          <w:strike w:val="0"/>
          <w:sz w:val="20"/>
          <w:highlight w:val="cyan"/>
          <w:u w:val="single"/>
        </w:rPr>
        <w:t>non-Article III tribunal</w:t>
      </w:r>
      <w:r>
        <w:rPr>
          <w:b w:val="0"/>
          <w:i w:val="0"/>
          <w:smallCaps w:val="0"/>
          <w:strike w:val="0"/>
          <w:sz w:val="20"/>
          <w:highlight w:val="cyan"/>
          <w:u w:val="single"/>
        </w:rPr>
        <w:t xml:space="preserve"> may not</w:t>
      </w:r>
      <w:r>
        <w:rPr>
          <w:b w:val="0"/>
          <w:i w:val="0"/>
          <w:smallCaps w:val="0"/>
          <w:strike w:val="0"/>
          <w:sz w:val="20"/>
          <w:u w:val="single"/>
        </w:rPr>
        <w:t xml:space="preserve"> finally </w:t>
      </w:r>
      <w:r>
        <w:rPr>
          <w:b w:val="0"/>
          <w:i w:val="0"/>
          <w:smallCaps w:val="0"/>
          <w:strike w:val="0"/>
          <w:sz w:val="20"/>
          <w:highlight w:val="cyan"/>
          <w:u w:val="single"/>
        </w:rPr>
        <w:t>adjudicate it</w:t>
      </w:r>
      <w:r>
        <w:rPr>
          <w:b w:val="0"/>
          <w:i w:val="0"/>
          <w:smallCaps w:val="0"/>
          <w:strike w:val="0"/>
          <w:sz w:val="20"/>
          <w:u w:val="single"/>
        </w:rPr>
        <w:t xml:space="preserve"> at the trial level.</w:t>
      </w:r>
    </w:p>
    <w:p>
      <w:pPr>
        <w:spacing w:after="60"/>
      </w:pPr>
      <w:r>
        <w:rPr>
          <w:b w:val="0"/>
          <w:i w:val="0"/>
          <w:smallCaps w:val="0"/>
          <w:strike w:val="0"/>
          <w:sz w:val="20"/>
          <w:u w:val="single"/>
        </w:rPr>
        <w:t xml:space="preserve">Article III could neither serve its purpose in the system of checks and balances nor preserve the integrity of judicial </w:t>
      </w:r>
      <w:r>
        <w:rPr>
          <w:b w:val="0"/>
          <w:i w:val="0"/>
          <w:smallCaps w:val="0"/>
          <w:strike w:val="0"/>
          <w:sz w:val="20"/>
          <w:u w:val="single"/>
        </w:rPr>
        <w:t>decisionmaking</w:t>
      </w:r>
      <w:r>
        <w:rPr>
          <w:b w:val="0"/>
          <w:i w:val="0"/>
          <w:smallCaps w:val="0"/>
          <w:strike w:val="0"/>
          <w:sz w:val="20"/>
          <w:u w:val="single"/>
        </w:rPr>
        <w:t xml:space="preserve"> if the other branches of the Federal Government could confer the Government’s “judicial Power” on entities outside Article III</w:t>
      </w:r>
      <w:r>
        <w:rPr>
          <w:b w:val="0"/>
          <w:i w:val="0"/>
          <w:smallCaps w:val="0"/>
          <w:strike w:val="0"/>
          <w:sz w:val="16"/>
          <w:u w:val="none"/>
        </w:rPr>
        <w:t xml:space="preserve">. That is why we have long recognized that, in general, </w:t>
      </w:r>
      <w:r>
        <w:rPr>
          <w:b w:val="0"/>
          <w:i w:val="0"/>
          <w:smallCaps w:val="0"/>
          <w:strike w:val="0"/>
          <w:sz w:val="20"/>
          <w:highlight w:val="cyan"/>
          <w:u w:val="single"/>
        </w:rPr>
        <w:t xml:space="preserve">Congress </w:t>
      </w:r>
      <w:r>
        <w:rPr>
          <w:b w:val="0"/>
          <w:i w:val="0"/>
          <w:smallCaps w:val="0"/>
          <w:strike w:val="0"/>
          <w:sz w:val="20"/>
          <w:highlight w:val="cyan"/>
          <w:u w:val="single"/>
        </w:rPr>
        <w:t>may not</w:t>
      </w:r>
      <w:r>
        <w:rPr>
          <w:b w:val="0"/>
          <w:i w:val="0"/>
          <w:smallCaps w:val="0"/>
          <w:strike w:val="0"/>
          <w:sz w:val="20"/>
          <w:highlight w:val="cyan"/>
          <w:u w:val="single"/>
        </w:rPr>
        <w:t xml:space="preserve"> “withdraw from judicial cognizance any matter which</w:t>
      </w:r>
      <w:r>
        <w:rPr>
          <w:b w:val="0"/>
          <w:i w:val="0"/>
          <w:smallCaps w:val="0"/>
          <w:strike w:val="0"/>
          <w:sz w:val="20"/>
          <w:u w:val="single"/>
        </w:rPr>
        <w:t xml:space="preserve">, from its nature, </w:t>
      </w:r>
      <w:r>
        <w:rPr>
          <w:b w:val="0"/>
          <w:i w:val="0"/>
          <w:smallCaps w:val="0"/>
          <w:strike w:val="0"/>
          <w:sz w:val="20"/>
          <w:highlight w:val="cyan"/>
          <w:u w:val="single"/>
        </w:rPr>
        <w:t>is</w:t>
      </w:r>
      <w:r>
        <w:rPr>
          <w:b w:val="0"/>
          <w:i w:val="0"/>
          <w:smallCaps w:val="0"/>
          <w:strike w:val="0"/>
          <w:sz w:val="20"/>
          <w:u w:val="single"/>
        </w:rPr>
        <w:t xml:space="preserve"> the </w:t>
      </w:r>
      <w:r>
        <w:rPr>
          <w:b w:val="0"/>
          <w:i w:val="0"/>
          <w:smallCaps w:val="0"/>
          <w:strike w:val="0"/>
          <w:sz w:val="20"/>
          <w:highlight w:val="cyan"/>
          <w:u w:val="single"/>
        </w:rPr>
        <w:t>subject of a suit at</w:t>
      </w:r>
      <w:r>
        <w:rPr>
          <w:b w:val="0"/>
          <w:i w:val="0"/>
          <w:smallCaps w:val="0"/>
          <w:strike w:val="0"/>
          <w:sz w:val="20"/>
          <w:u w:val="single"/>
        </w:rPr>
        <w:t xml:space="preserve"> the </w:t>
      </w:r>
      <w:r>
        <w:rPr>
          <w:b w:val="0"/>
          <w:i w:val="0"/>
          <w:smallCaps w:val="0"/>
          <w:strike w:val="0"/>
          <w:sz w:val="20"/>
          <w:highlight w:val="cyan"/>
          <w:u w:val="single"/>
        </w:rPr>
        <w:t>common law</w:t>
      </w:r>
      <w:r>
        <w:rPr>
          <w:b w:val="0"/>
          <w:i w:val="0"/>
          <w:smallCaps w:val="0"/>
          <w:strike w:val="0"/>
          <w:sz w:val="20"/>
          <w:u w:val="single"/>
        </w:rPr>
        <w:t>, or in equity, or admiralty</w:t>
      </w:r>
      <w:r>
        <w:rPr>
          <w:b w:val="0"/>
          <w:i w:val="0"/>
          <w:smallCaps w:val="0"/>
          <w:strike w:val="0"/>
          <w:sz w:val="16"/>
          <w:u w:val="none"/>
        </w:rPr>
        <w:t xml:space="preserve">.” Murray’s Lessee v. Hoboken Land &amp; Improvement Co., 59 U.S. 272, 18 How. 272, 284, 15 </w:t>
      </w:r>
      <w:r>
        <w:rPr>
          <w:b w:val="0"/>
          <w:i w:val="0"/>
          <w:smallCaps w:val="0"/>
          <w:strike w:val="0"/>
          <w:sz w:val="16"/>
          <w:u w:val="none"/>
        </w:rPr>
        <w:t>L.Ed</w:t>
      </w:r>
      <w:r>
        <w:rPr>
          <w:b w:val="0"/>
          <w:i w:val="0"/>
          <w:smallCaps w:val="0"/>
          <w:strike w:val="0"/>
          <w:sz w:val="16"/>
          <w:u w:val="none"/>
        </w:rPr>
        <w:t xml:space="preserve">. 372 (1856). </w:t>
      </w:r>
      <w:r>
        <w:rPr>
          <w:b w:val="0"/>
          <w:i w:val="0"/>
          <w:smallCaps w:val="0"/>
          <w:strike w:val="0"/>
          <w:sz w:val="20"/>
          <w:u w:val="single"/>
        </w:rPr>
        <w:t>When a suit is made of “the stuff of the traditional actions at common law tried by the courts at Westminster in 1789</w:t>
      </w:r>
      <w:r>
        <w:rPr>
          <w:b w:val="0"/>
          <w:i w:val="0"/>
          <w:smallCaps w:val="0"/>
          <w:strike w:val="0"/>
          <w:sz w:val="16"/>
          <w:u w:val="none"/>
        </w:rPr>
        <w:t xml:space="preserve">,” Northern Pipeline, 458 U.S., at 90, 102 S. Ct. 2858 (Rehnquist, J., concurring in judgment), </w:t>
      </w:r>
      <w:r>
        <w:rPr>
          <w:b w:val="0"/>
          <w:i w:val="0"/>
          <w:smallCaps w:val="0"/>
          <w:strike w:val="0"/>
          <w:sz w:val="20"/>
          <w:u w:val="single"/>
        </w:rPr>
        <w:t xml:space="preserve">and is brought within the bounds of federal jurisdiction, the </w:t>
      </w:r>
      <w:r>
        <w:rPr>
          <w:b w:val="0"/>
          <w:i w:val="0"/>
          <w:smallCaps w:val="0"/>
          <w:strike w:val="0"/>
          <w:sz w:val="20"/>
          <w:highlight w:val="cyan"/>
          <w:u w:val="single"/>
        </w:rPr>
        <w:t>responsibility</w:t>
      </w:r>
      <w:r>
        <w:rPr>
          <w:b w:val="0"/>
          <w:i w:val="0"/>
          <w:smallCaps w:val="0"/>
          <w:strike w:val="0"/>
          <w:sz w:val="20"/>
          <w:u w:val="single"/>
        </w:rPr>
        <w:t xml:space="preserve"> for deciding that suit </w:t>
      </w:r>
      <w:r>
        <w:rPr>
          <w:b w:val="0"/>
          <w:i w:val="0"/>
          <w:smallCaps w:val="0"/>
          <w:strike w:val="0"/>
          <w:sz w:val="20"/>
          <w:highlight w:val="cyan"/>
          <w:u w:val="single"/>
        </w:rPr>
        <w:t xml:space="preserve">rests with </w:t>
      </w:r>
      <w:r>
        <w:rPr>
          <w:b w:val="0"/>
          <w:i w:val="0"/>
          <w:smallCaps w:val="0"/>
          <w:strike w:val="0"/>
          <w:sz w:val="20"/>
          <w:highlight w:val="cyan"/>
          <w:u w:val="single"/>
        </w:rPr>
        <w:t>Article III judges</w:t>
      </w:r>
      <w:r>
        <w:rPr>
          <w:b w:val="0"/>
          <w:i w:val="0"/>
          <w:smallCaps w:val="0"/>
          <w:strike w:val="0"/>
          <w:sz w:val="20"/>
          <w:highlight w:val="cyan"/>
          <w:u w:val="single"/>
        </w:rPr>
        <w:t xml:space="preserve"> in </w:t>
      </w:r>
      <w:r>
        <w:rPr>
          <w:b w:val="0"/>
          <w:i w:val="0"/>
          <w:smallCaps w:val="0"/>
          <w:strike w:val="0"/>
          <w:sz w:val="20"/>
          <w:highlight w:val="cyan"/>
          <w:u w:val="single"/>
        </w:rPr>
        <w:t>Article III courts</w:t>
      </w:r>
      <w:r>
        <w:rPr>
          <w:b w:val="0"/>
          <w:i w:val="0"/>
          <w:smallCaps w:val="0"/>
          <w:strike w:val="0"/>
          <w:sz w:val="20"/>
          <w:u w:val="single"/>
        </w:rPr>
        <w:t>. The Constitution assigns that job</w:t>
      </w:r>
      <w:r>
        <w:rPr>
          <w:b w:val="0"/>
          <w:i w:val="0"/>
          <w:smallCaps w:val="0"/>
          <w:strike w:val="0"/>
          <w:sz w:val="16"/>
          <w:u w:val="none"/>
        </w:rPr>
        <w:t xml:space="preserve"> – resolution of “the mundane as well as the glamorous, matters of common law and statute as well as constitutional law, issues of fact as well as issues of law” – </w:t>
      </w:r>
      <w:r>
        <w:rPr>
          <w:b w:val="0"/>
          <w:i w:val="0"/>
          <w:smallCaps w:val="0"/>
          <w:strike w:val="0"/>
          <w:sz w:val="20"/>
          <w:u w:val="single"/>
        </w:rPr>
        <w:t xml:space="preserve">to </w:t>
      </w:r>
      <w:r>
        <w:rPr>
          <w:b w:val="0"/>
          <w:i w:val="0"/>
          <w:smallCaps w:val="0"/>
          <w:strike w:val="0"/>
          <w:sz w:val="20"/>
          <w:u w:val="single"/>
        </w:rPr>
        <w:t>the Judiciary</w:t>
      </w:r>
      <w:r>
        <w:rPr>
          <w:b w:val="0"/>
          <w:i w:val="0"/>
          <w:smallCaps w:val="0"/>
          <w:strike w:val="0"/>
          <w:sz w:val="16"/>
          <w:u w:val="none"/>
        </w:rPr>
        <w:t>. Id., at 86-87, n.39, 102 S. Ct. 2858 (plurality opinion).</w:t>
      </w:r>
    </w:p>
    <w:p>
      <w:pPr>
        <w:spacing w:after="60"/>
      </w:pPr>
      <w:r>
        <w:rPr>
          <w:b w:val="0"/>
          <w:i w:val="0"/>
          <w:smallCaps w:val="0"/>
          <w:strike w:val="0"/>
          <w:sz w:val="16"/>
          <w:u w:val="none"/>
        </w:rPr>
        <w:t>131 S. Ct. at 2609 (emphases added).</w:t>
      </w:r>
    </w:p>
    <w:p>
      <w:pPr>
        <w:spacing w:after="60"/>
      </w:pPr>
      <w:r>
        <w:rPr>
          <w:b w:val="0"/>
          <w:i w:val="0"/>
          <w:smallCaps w:val="0"/>
          <w:strike w:val="0"/>
          <w:sz w:val="20"/>
          <w:u w:val="single"/>
        </w:rPr>
        <w:t>The decision nonetheless went on to recognize that Article III precedent “has not been entirely consistent</w:t>
      </w:r>
      <w:r>
        <w:rPr>
          <w:b w:val="0"/>
          <w:i w:val="0"/>
          <w:smallCaps w:val="0"/>
          <w:strike w:val="0"/>
          <w:sz w:val="16"/>
          <w:u w:val="none"/>
        </w:rPr>
        <w:t xml:space="preserve">,” leading it to expend considerable effort to show that after applying the “historical antecedents” test to the facts at bar, the result ended up consistent with “the various formulations of [the ‘public rights’ exception] that appear in this Court’s opinions.” Id. at 2611. </w:t>
      </w:r>
      <w:r>
        <w:rPr>
          <w:b w:val="0"/>
          <w:i w:val="0"/>
          <w:smallCaps w:val="0"/>
          <w:strike w:val="0"/>
          <w:sz w:val="20"/>
          <w:u w:val="single"/>
        </w:rPr>
        <w:t>Here lies the problem</w:t>
      </w:r>
      <w:r>
        <w:rPr>
          <w:b w:val="0"/>
          <w:i w:val="0"/>
          <w:smallCaps w:val="0"/>
          <w:strike w:val="0"/>
          <w:sz w:val="16"/>
          <w:u w:val="none"/>
        </w:rPr>
        <w:t xml:space="preserve">. As Justice Scalia’s concurrence foreshadows, this summation of how the Stern v. Marshall outcome harmonized with every “not . . . entirely consistent” holding of the past has led reasonable jurists to believe that there were no less than seven distinct legal standards announced in the majority opinion. See id. at 2621 (Scalia, J., concurring). </w:t>
      </w:r>
      <w:r>
        <w:rPr>
          <w:b w:val="0"/>
          <w:i w:val="0"/>
          <w:smallCaps w:val="0"/>
          <w:strike w:val="0"/>
          <w:sz w:val="20"/>
          <w:u w:val="single"/>
        </w:rPr>
        <w:t>After ignoring the “historical antecedents” holding and seizing on two or three of the six other “formulations” discussed in the walkthrough, it is no wonder that the Federal Circuit’s analysis ended up incorrect</w:t>
      </w:r>
      <w:r>
        <w:rPr>
          <w:b w:val="0"/>
          <w:i w:val="0"/>
          <w:smallCaps w:val="0"/>
          <w:strike w:val="0"/>
          <w:sz w:val="16"/>
          <w:u w:val="none"/>
        </w:rPr>
        <w:t>.</w:t>
      </w:r>
    </w:p>
    <w:p>
      <w:pPr>
        <w:spacing w:after="60"/>
      </w:pPr>
      <w:r>
        <w:rPr>
          <w:b w:val="0"/>
          <w:i w:val="0"/>
          <w:smallCaps w:val="0"/>
          <w:strike w:val="0"/>
          <w:sz w:val="20"/>
          <w:u w:val="single"/>
        </w:rPr>
        <w:t xml:space="preserve">Nor is there </w:t>
      </w:r>
      <w:r>
        <w:rPr>
          <w:b w:val="0"/>
          <w:i w:val="0"/>
          <w:smallCaps w:val="0"/>
          <w:strike w:val="0"/>
          <w:sz w:val="20"/>
          <w:u w:val="single"/>
        </w:rPr>
        <w:t>any question</w:t>
      </w:r>
      <w:r>
        <w:rPr>
          <w:b w:val="0"/>
          <w:i w:val="0"/>
          <w:smallCaps w:val="0"/>
          <w:strike w:val="0"/>
          <w:sz w:val="20"/>
          <w:u w:val="single"/>
        </w:rPr>
        <w:t xml:space="preserve"> that </w:t>
      </w:r>
      <w:r>
        <w:rPr>
          <w:b w:val="0"/>
          <w:i w:val="0"/>
          <w:smallCaps w:val="0"/>
          <w:strike w:val="0"/>
          <w:sz w:val="20"/>
          <w:highlight w:val="cyan"/>
          <w:u w:val="single"/>
        </w:rPr>
        <w:t>i</w:t>
      </w:r>
      <w:r>
        <w:rPr>
          <w:b w:val="0"/>
          <w:i w:val="0"/>
          <w:smallCaps w:val="0"/>
          <w:strike w:val="0"/>
          <w:sz w:val="20"/>
          <w:u w:val="single"/>
        </w:rPr>
        <w:t xml:space="preserve">nter </w:t>
      </w:r>
      <w:r>
        <w:rPr>
          <w:b w:val="0"/>
          <w:i w:val="0"/>
          <w:smallCaps w:val="0"/>
          <w:strike w:val="0"/>
          <w:sz w:val="20"/>
          <w:highlight w:val="cyan"/>
          <w:u w:val="single"/>
        </w:rPr>
        <w:t>p</w:t>
      </w:r>
      <w:r>
        <w:rPr>
          <w:b w:val="0"/>
          <w:i w:val="0"/>
          <w:smallCaps w:val="0"/>
          <w:strike w:val="0"/>
          <w:sz w:val="20"/>
          <w:u w:val="single"/>
        </w:rPr>
        <w:t xml:space="preserve">artes </w:t>
      </w:r>
      <w:r>
        <w:rPr>
          <w:b w:val="0"/>
          <w:i w:val="0"/>
          <w:smallCaps w:val="0"/>
          <w:strike w:val="0"/>
          <w:sz w:val="20"/>
          <w:highlight w:val="cyan"/>
          <w:u w:val="single"/>
        </w:rPr>
        <w:t>r</w:t>
      </w:r>
      <w:r>
        <w:rPr>
          <w:b w:val="0"/>
          <w:i w:val="0"/>
          <w:smallCaps w:val="0"/>
          <w:strike w:val="0"/>
          <w:sz w:val="20"/>
          <w:u w:val="single"/>
        </w:rPr>
        <w:t xml:space="preserve">eview </w:t>
      </w:r>
      <w:r>
        <w:rPr>
          <w:b w:val="0"/>
          <w:i w:val="0"/>
          <w:smallCaps w:val="0"/>
          <w:strike w:val="0"/>
          <w:sz w:val="20"/>
          <w:highlight w:val="cyan"/>
          <w:u w:val="single"/>
        </w:rPr>
        <w:t>fits the “historical antecedent</w:t>
      </w:r>
      <w:r>
        <w:rPr>
          <w:b w:val="0"/>
          <w:i w:val="0"/>
          <w:smallCaps w:val="0"/>
          <w:strike w:val="0"/>
          <w:sz w:val="20"/>
          <w:u w:val="single"/>
        </w:rPr>
        <w:t xml:space="preserve">s” </w:t>
      </w:r>
      <w:r>
        <w:rPr>
          <w:b w:val="0"/>
          <w:i w:val="0"/>
          <w:smallCaps w:val="0"/>
          <w:strike w:val="0"/>
          <w:sz w:val="20"/>
          <w:highlight w:val="cyan"/>
          <w:u w:val="single"/>
        </w:rPr>
        <w:t>test. “Patent validity was</w:t>
      </w:r>
      <w:r>
        <w:rPr>
          <w:b w:val="0"/>
          <w:i w:val="0"/>
          <w:smallCaps w:val="0"/>
          <w:strike w:val="0"/>
          <w:sz w:val="20"/>
          <w:u w:val="single"/>
        </w:rPr>
        <w:t xml:space="preserve"> a </w:t>
      </w:r>
      <w:r>
        <w:rPr>
          <w:b w:val="0"/>
          <w:i w:val="0"/>
          <w:smallCaps w:val="0"/>
          <w:strike w:val="0"/>
          <w:sz w:val="20"/>
          <w:highlight w:val="cyan"/>
          <w:u w:val="single"/>
        </w:rPr>
        <w:t>common law</w:t>
      </w:r>
      <w:r>
        <w:rPr>
          <w:b w:val="0"/>
          <w:i w:val="0"/>
          <w:smallCaps w:val="0"/>
          <w:strike w:val="0"/>
          <w:sz w:val="20"/>
          <w:u w:val="single"/>
        </w:rPr>
        <w:t xml:space="preserve"> action tried </w:t>
      </w:r>
      <w:r>
        <w:rPr>
          <w:b w:val="0"/>
          <w:i w:val="0"/>
          <w:smallCaps w:val="0"/>
          <w:strike w:val="0"/>
          <w:sz w:val="20"/>
          <w:u w:val="single"/>
        </w:rPr>
        <w:t>to</w:t>
      </w:r>
      <w:r>
        <w:rPr>
          <w:b w:val="0"/>
          <w:i w:val="0"/>
          <w:smallCaps w:val="0"/>
          <w:strike w:val="0"/>
          <w:sz w:val="20"/>
          <w:u w:val="single"/>
        </w:rPr>
        <w:t xml:space="preserve"> a jury </w:t>
      </w:r>
      <w:r>
        <w:rPr>
          <w:b w:val="0"/>
          <w:i w:val="0"/>
          <w:smallCaps w:val="0"/>
          <w:strike w:val="0"/>
          <w:sz w:val="20"/>
          <w:highlight w:val="cyan"/>
          <w:u w:val="single"/>
        </w:rPr>
        <w:t xml:space="preserve">in </w:t>
      </w:r>
      <w:r>
        <w:rPr>
          <w:b w:val="0"/>
          <w:i w:val="0"/>
          <w:smallCaps w:val="0"/>
          <w:strike w:val="0"/>
          <w:sz w:val="20"/>
          <w:highlight w:val="cyan"/>
          <w:u w:val="single"/>
        </w:rPr>
        <w:t>Eighteenth Century England</w:t>
      </w:r>
      <w:r>
        <w:rPr>
          <w:b w:val="0"/>
          <w:i w:val="0"/>
          <w:smallCaps w:val="0"/>
          <w:strike w:val="0"/>
          <w:sz w:val="20"/>
          <w:u w:val="single"/>
        </w:rPr>
        <w:t>. An action to repeal and cancel a patent was pled as the common law writ of scire facias</w:t>
      </w:r>
      <w:r>
        <w:rPr>
          <w:b w:val="0"/>
          <w:i w:val="0"/>
          <w:smallCaps w:val="0"/>
          <w:strike w:val="0"/>
          <w:sz w:val="16"/>
          <w:u w:val="none"/>
        </w:rPr>
        <w:t xml:space="preserve">.” In re Tech. Licensing Corp., 423 F.3d 1286, 1292-93 (Fed. Cir. 2005) (Newman, J., dissenting) (listing cases). </w:t>
      </w:r>
      <w:r>
        <w:rPr>
          <w:b w:val="0"/>
          <w:i w:val="0"/>
          <w:smallCaps w:val="0"/>
          <w:strike w:val="0"/>
          <w:sz w:val="20"/>
          <w:highlight w:val="cyan"/>
          <w:u w:val="single"/>
        </w:rPr>
        <w:t xml:space="preserve">In </w:t>
      </w:r>
      <w:r>
        <w:rPr>
          <w:b w:val="0"/>
          <w:i w:val="0"/>
          <w:smallCaps w:val="0"/>
          <w:strike w:val="0"/>
          <w:sz w:val="20"/>
          <w:highlight w:val="cyan"/>
          <w:u w:val="single"/>
        </w:rPr>
        <w:t>repeal actions</w:t>
      </w:r>
      <w:r>
        <w:rPr>
          <w:b w:val="0"/>
          <w:i w:val="0"/>
          <w:smallCaps w:val="0"/>
          <w:strike w:val="0"/>
          <w:sz w:val="20"/>
          <w:highlight w:val="cyan"/>
          <w:u w:val="single"/>
        </w:rPr>
        <w:t xml:space="preserve"> (which analogize to IPR</w:t>
      </w:r>
      <w:r>
        <w:rPr>
          <w:b w:val="0"/>
          <w:i w:val="0"/>
          <w:smallCaps w:val="0"/>
          <w:strike w:val="0"/>
          <w:sz w:val="20"/>
          <w:u w:val="single"/>
        </w:rPr>
        <w:t xml:space="preserve"> proceedings), though commenced in chancery, a </w:t>
      </w:r>
      <w:r>
        <w:rPr>
          <w:b w:val="0"/>
          <w:i w:val="0"/>
          <w:smallCaps w:val="0"/>
          <w:strike w:val="0"/>
          <w:sz w:val="20"/>
          <w:highlight w:val="cyan"/>
          <w:u w:val="single"/>
        </w:rPr>
        <w:t>common law</w:t>
      </w:r>
      <w:r>
        <w:rPr>
          <w:b w:val="0"/>
          <w:i w:val="0"/>
          <w:smallCaps w:val="0"/>
          <w:strike w:val="0"/>
          <w:sz w:val="20"/>
          <w:u w:val="single"/>
        </w:rPr>
        <w:t xml:space="preserve"> jury </w:t>
      </w:r>
      <w:r>
        <w:rPr>
          <w:b w:val="0"/>
          <w:i w:val="0"/>
          <w:smallCaps w:val="0"/>
          <w:strike w:val="0"/>
          <w:sz w:val="20"/>
          <w:highlight w:val="cyan"/>
          <w:u w:val="single"/>
        </w:rPr>
        <w:t>served as factfinder</w:t>
      </w:r>
      <w:r>
        <w:rPr>
          <w:b w:val="0"/>
          <w:i w:val="0"/>
          <w:smallCaps w:val="0"/>
          <w:strike w:val="0"/>
          <w:sz w:val="16"/>
          <w:u w:val="none"/>
        </w:rPr>
        <w:t xml:space="preserve">. Id. </w:t>
      </w:r>
      <w:r>
        <w:rPr>
          <w:b w:val="0"/>
          <w:i w:val="0"/>
          <w:smallCaps w:val="0"/>
          <w:strike w:val="0"/>
          <w:sz w:val="20"/>
          <w:u w:val="single"/>
        </w:rPr>
        <w:t xml:space="preserve">And </w:t>
      </w:r>
      <w:r>
        <w:rPr>
          <w:b w:val="0"/>
          <w:i w:val="0"/>
          <w:smallCaps w:val="0"/>
          <w:strike w:val="0"/>
          <w:sz w:val="20"/>
          <w:highlight w:val="cyan"/>
          <w:u w:val="single"/>
        </w:rPr>
        <w:t>in the U</w:t>
      </w:r>
      <w:r>
        <w:rPr>
          <w:b w:val="0"/>
          <w:i w:val="0"/>
          <w:smallCaps w:val="0"/>
          <w:strike w:val="0"/>
          <w:sz w:val="20"/>
          <w:u w:val="single"/>
        </w:rPr>
        <w:t xml:space="preserve">nited </w:t>
      </w:r>
      <w:r>
        <w:rPr>
          <w:b w:val="0"/>
          <w:i w:val="0"/>
          <w:smallCaps w:val="0"/>
          <w:strike w:val="0"/>
          <w:sz w:val="20"/>
          <w:highlight w:val="cyan"/>
          <w:u w:val="single"/>
        </w:rPr>
        <w:t>S</w:t>
      </w:r>
      <w:r>
        <w:rPr>
          <w:b w:val="0"/>
          <w:i w:val="0"/>
          <w:smallCaps w:val="0"/>
          <w:strike w:val="0"/>
          <w:sz w:val="20"/>
          <w:u w:val="single"/>
        </w:rPr>
        <w:t>tates, “</w:t>
      </w:r>
      <w:r>
        <w:rPr>
          <w:b w:val="0"/>
          <w:i w:val="0"/>
          <w:smallCaps w:val="0"/>
          <w:strike w:val="0"/>
          <w:sz w:val="20"/>
          <w:highlight w:val="cyan"/>
          <w:u w:val="single"/>
        </w:rPr>
        <w:t>jury trials of</w:t>
      </w:r>
      <w:r>
        <w:rPr>
          <w:b w:val="0"/>
          <w:i w:val="0"/>
          <w:smallCaps w:val="0"/>
          <w:strike w:val="0"/>
          <w:sz w:val="20"/>
          <w:u w:val="single"/>
        </w:rPr>
        <w:t xml:space="preserve"> issues of </w:t>
      </w:r>
      <w:r>
        <w:rPr>
          <w:b w:val="0"/>
          <w:i w:val="0"/>
          <w:smallCaps w:val="0"/>
          <w:strike w:val="0"/>
          <w:sz w:val="20"/>
          <w:highlight w:val="cyan"/>
          <w:u w:val="single"/>
        </w:rPr>
        <w:t>patent validity appear from</w:t>
      </w:r>
      <w:r>
        <w:rPr>
          <w:b w:val="0"/>
          <w:i w:val="0"/>
          <w:smallCaps w:val="0"/>
          <w:strike w:val="0"/>
          <w:sz w:val="20"/>
          <w:u w:val="single"/>
        </w:rPr>
        <w:t xml:space="preserve"> the </w:t>
      </w:r>
      <w:r>
        <w:rPr>
          <w:b w:val="0"/>
          <w:i w:val="0"/>
          <w:smallCaps w:val="0"/>
          <w:strike w:val="0"/>
          <w:sz w:val="20"/>
          <w:highlight w:val="cyan"/>
          <w:u w:val="single"/>
        </w:rPr>
        <w:t>early days</w:t>
      </w:r>
      <w:r>
        <w:rPr>
          <w:b w:val="0"/>
          <w:i w:val="0"/>
          <w:smallCaps w:val="0"/>
          <w:strike w:val="0"/>
          <w:sz w:val="20"/>
          <w:highlight w:val="cyan"/>
          <w:u w:val="single"/>
        </w:rPr>
        <w:t xml:space="preserve"> of</w:t>
      </w:r>
      <w:r>
        <w:rPr>
          <w:b w:val="0"/>
          <w:i w:val="0"/>
          <w:smallCaps w:val="0"/>
          <w:strike w:val="0"/>
          <w:sz w:val="20"/>
          <w:u w:val="single"/>
        </w:rPr>
        <w:t xml:space="preserve"> the </w:t>
      </w:r>
      <w:r>
        <w:rPr>
          <w:b w:val="0"/>
          <w:i w:val="0"/>
          <w:smallCaps w:val="0"/>
          <w:strike w:val="0"/>
          <w:sz w:val="20"/>
          <w:u w:val="single"/>
        </w:rPr>
        <w:t xml:space="preserve">nation’s </w:t>
      </w:r>
      <w:r>
        <w:rPr>
          <w:b w:val="0"/>
          <w:i w:val="0"/>
          <w:smallCaps w:val="0"/>
          <w:strike w:val="0"/>
          <w:sz w:val="20"/>
          <w:highlight w:val="cyan"/>
          <w:u w:val="single"/>
        </w:rPr>
        <w:t>jurisprudence</w:t>
      </w:r>
      <w:r>
        <w:rPr>
          <w:b w:val="0"/>
          <w:i w:val="0"/>
          <w:smallCaps w:val="0"/>
          <w:strike w:val="0"/>
          <w:sz w:val="16"/>
          <w:u w:val="none"/>
        </w:rPr>
        <w:t xml:space="preserve">.” Id. (citing Ex </w:t>
      </w:r>
      <w:r>
        <w:rPr>
          <w:b w:val="0"/>
          <w:i w:val="0"/>
          <w:smallCaps w:val="0"/>
          <w:strike w:val="0"/>
          <w:sz w:val="16"/>
          <w:u w:val="none"/>
        </w:rPr>
        <w:t>parte</w:t>
      </w:r>
      <w:r>
        <w:rPr>
          <w:b w:val="0"/>
          <w:i w:val="0"/>
          <w:smallCaps w:val="0"/>
          <w:strike w:val="0"/>
          <w:sz w:val="16"/>
          <w:u w:val="none"/>
        </w:rPr>
        <w:t xml:space="preserve"> Wood, 22 U.S. (9 Wheat.) 603, 614-15 (1824) (Story, </w:t>
      </w:r>
      <w:r>
        <w:rPr>
          <w:b w:val="0"/>
          <w:i w:val="0"/>
          <w:smallCaps w:val="0"/>
          <w:strike w:val="0"/>
          <w:sz w:val="16"/>
          <w:u w:val="none"/>
        </w:rPr>
        <w:t>J.)</w:t>
      </w:r>
      <w:r>
        <w:rPr>
          <w:b w:val="0"/>
          <w:i w:val="0"/>
          <w:smallCaps w:val="0"/>
          <w:strike w:val="0"/>
          <w:sz w:val="16"/>
          <w:u w:val="none"/>
        </w:rPr>
        <w:t>).</w:t>
      </w:r>
    </w:p>
    <w:p>
      <w:pPr>
        <w:spacing w:after="60"/>
      </w:pPr>
      <w:r>
        <w:rPr>
          <w:b w:val="0"/>
          <w:i w:val="0"/>
          <w:smallCaps w:val="0"/>
          <w:strike w:val="0"/>
          <w:sz w:val="20"/>
          <w:highlight w:val="cyan"/>
          <w:u w:val="single"/>
        </w:rPr>
        <w:t xml:space="preserve">The </w:t>
      </w:r>
      <w:r>
        <w:rPr>
          <w:b w:val="0"/>
          <w:i w:val="0"/>
          <w:smallCaps w:val="0"/>
          <w:strike w:val="0"/>
          <w:sz w:val="20"/>
          <w:highlight w:val="cyan"/>
          <w:u w:val="single"/>
        </w:rPr>
        <w:t>opportunity now exists</w:t>
      </w:r>
      <w:r>
        <w:rPr>
          <w:b w:val="0"/>
          <w:i w:val="0"/>
          <w:smallCaps w:val="0"/>
          <w:strike w:val="0"/>
          <w:sz w:val="20"/>
          <w:u w:val="single"/>
        </w:rPr>
        <w:t xml:space="preserve">, through this case, </w:t>
      </w:r>
      <w:r>
        <w:rPr>
          <w:b w:val="0"/>
          <w:i w:val="0"/>
          <w:smallCaps w:val="0"/>
          <w:strike w:val="0"/>
          <w:sz w:val="20"/>
          <w:highlight w:val="cyan"/>
          <w:u w:val="single"/>
        </w:rPr>
        <w:t>to</w:t>
      </w:r>
      <w:r>
        <w:rPr>
          <w:b w:val="0"/>
          <w:i w:val="0"/>
          <w:smallCaps w:val="0"/>
          <w:strike w:val="0"/>
          <w:sz w:val="20"/>
          <w:u w:val="single"/>
        </w:rPr>
        <w:t xml:space="preserve"> clear the air and </w:t>
      </w:r>
      <w:r>
        <w:rPr>
          <w:b w:val="0"/>
          <w:i w:val="0"/>
          <w:smallCaps w:val="0"/>
          <w:strike w:val="0"/>
          <w:sz w:val="20"/>
          <w:highlight w:val="cyan"/>
          <w:u w:val="single"/>
        </w:rPr>
        <w:t>prevent future</w:t>
      </w:r>
      <w:r>
        <w:rPr>
          <w:b w:val="0"/>
          <w:i w:val="0"/>
          <w:smallCaps w:val="0"/>
          <w:strike w:val="0"/>
          <w:sz w:val="20"/>
          <w:u w:val="single"/>
        </w:rPr>
        <w:t xml:space="preserve"> lower court (or </w:t>
      </w:r>
      <w:r>
        <w:rPr>
          <w:b w:val="0"/>
          <w:i w:val="0"/>
          <w:smallCaps w:val="0"/>
          <w:strike w:val="0"/>
          <w:sz w:val="20"/>
          <w:highlight w:val="cyan"/>
          <w:u w:val="single"/>
        </w:rPr>
        <w:t>Congressional) confusion</w:t>
      </w:r>
      <w:r>
        <w:rPr>
          <w:b w:val="0"/>
          <w:i w:val="0"/>
          <w:smallCaps w:val="0"/>
          <w:strike w:val="0"/>
          <w:sz w:val="16"/>
          <w:u w:val="none"/>
        </w:rPr>
        <w:t xml:space="preserve">. The Stern v. Marshall dissent disagreed with what it called the majority’s “formulaic” approach, and instead of </w:t>
      </w:r>
      <w:r>
        <w:rPr>
          <w:b w:val="0"/>
          <w:i w:val="0"/>
          <w:smallCaps w:val="0"/>
          <w:strike w:val="0"/>
          <w:sz w:val="20"/>
          <w:u w:val="single"/>
        </w:rPr>
        <w:t>the “historical antecedents” standard would have applied the “pragmatic” standard announced in Commodity Futures Trading Comm’n v. Schor</w:t>
      </w:r>
      <w:r>
        <w:rPr>
          <w:b w:val="0"/>
          <w:i w:val="0"/>
          <w:smallCaps w:val="0"/>
          <w:strike w:val="0"/>
          <w:sz w:val="16"/>
          <w:u w:val="none"/>
        </w:rPr>
        <w:t>, 478 U.S. 833 (1986). Id. at 2625-26 (Breyer, J., dissenting) (</w:t>
      </w:r>
      <w:r>
        <w:rPr>
          <w:b w:val="0"/>
          <w:i w:val="0"/>
          <w:smallCaps w:val="0"/>
          <w:strike w:val="0"/>
          <w:sz w:val="20"/>
          <w:u w:val="single"/>
        </w:rPr>
        <w:t>describing five factors that should be weighed together</w:t>
      </w:r>
      <w:r>
        <w:rPr>
          <w:b w:val="0"/>
          <w:i w:val="0"/>
          <w:smallCaps w:val="0"/>
          <w:strike w:val="0"/>
          <w:sz w:val="16"/>
          <w:u w:val="none"/>
        </w:rPr>
        <w:t>). Commentators have held the respective standards of the majority and dissent to be incommensurable foils of one another. E.g., Rothwell, supra, at 332 n.243. However, Schor itself reveals that they both may exist side-by-side.</w:t>
      </w:r>
    </w:p>
    <w:p>
      <w:pPr>
        <w:spacing w:after="60"/>
      </w:pPr>
      <w:r>
        <w:rPr>
          <w:b w:val="0"/>
          <w:i w:val="0"/>
          <w:smallCaps w:val="0"/>
          <w:strike w:val="0"/>
          <w:sz w:val="16"/>
          <w:u w:val="none"/>
        </w:rPr>
        <w:t xml:space="preserve">The respective standards harmonize in the context of waiver and consent. In Schor, the Court reached and applied the five-factor standard only after drawing a distinction between “personal” right aspects of Article III, and “structural” right aspects. The Court held that waiver or consent had occurred on the facts of the case, and thus the “personal” right aspect was no longer in play. The five-factor standard – under which it is more difficult to show an </w:t>
      </w:r>
      <w:r>
        <w:rPr>
          <w:b w:val="0"/>
          <w:i w:val="0"/>
          <w:smallCaps w:val="0"/>
          <w:strike w:val="0"/>
          <w:sz w:val="16"/>
          <w:u w:val="none"/>
        </w:rPr>
        <w:t>Article</w:t>
      </w:r>
      <w:r>
        <w:rPr>
          <w:b w:val="0"/>
          <w:i w:val="0"/>
          <w:smallCaps w:val="0"/>
          <w:strike w:val="0"/>
          <w:sz w:val="16"/>
          <w:u w:val="none"/>
        </w:rPr>
        <w:t xml:space="preserve"> III violation – acts as a backstop when waiver exists, to protect structural interests of our system of government notwithstanding the actions of private litigants. Thus, where there has been no waiver or consent to an improper tribunal (as with the facts of Stern v. Marshall), Schor remains entirely consistent with application of the “historical antecedents” test to protect the “personal” rights at stake. Conversely, when there is waiver or consent, the pragmatic Schor factors still hold sway. This explains why the Schor factors came back into play in Wellness Int’l Network, Ltd. v. Sharif, 135 S. Ct. 1932, 1942-47 (2015), where this Court tackled how bankruptcy courts should treat a waived “Stern claim.”</w:t>
      </w:r>
    </w:p>
    <w:p>
      <w:pPr>
        <w:spacing w:after="60"/>
      </w:pPr>
      <w:r>
        <w:rPr>
          <w:b w:val="0"/>
          <w:i w:val="0"/>
          <w:smallCaps w:val="0"/>
          <w:strike w:val="0"/>
          <w:sz w:val="20"/>
          <w:u w:val="single"/>
        </w:rPr>
        <w:t xml:space="preserve">This case falls on the Stern v. Marshall side of the fence, in the sense that no one disputes that Petitioners had no choice about being dragged into a Patent Office tribunal by a litigation adversary. As such, </w:t>
      </w:r>
      <w:r>
        <w:rPr>
          <w:b w:val="0"/>
          <w:i w:val="0"/>
          <w:smallCaps w:val="0"/>
          <w:strike w:val="0"/>
          <w:sz w:val="20"/>
          <w:highlight w:val="cyan"/>
          <w:u w:val="single"/>
        </w:rPr>
        <w:t>the Court should</w:t>
      </w:r>
      <w:r>
        <w:rPr>
          <w:b w:val="0"/>
          <w:i w:val="0"/>
          <w:smallCaps w:val="0"/>
          <w:strike w:val="0"/>
          <w:sz w:val="20"/>
          <w:u w:val="single"/>
        </w:rPr>
        <w:t xml:space="preserve"> use this case to make explicit the analysis </w:t>
      </w:r>
      <w:r>
        <w:rPr>
          <w:b w:val="0"/>
          <w:i w:val="0"/>
          <w:smallCaps w:val="0"/>
          <w:strike w:val="0"/>
          <w:sz w:val="20"/>
          <w:u w:val="single"/>
        </w:rPr>
        <w:t>above, and</w:t>
      </w:r>
      <w:r>
        <w:rPr>
          <w:b w:val="0"/>
          <w:i w:val="0"/>
          <w:smallCaps w:val="0"/>
          <w:strike w:val="0"/>
          <w:sz w:val="20"/>
          <w:u w:val="single"/>
        </w:rPr>
        <w:t xml:space="preserve"> </w:t>
      </w:r>
      <w:r>
        <w:rPr>
          <w:b w:val="0"/>
          <w:i w:val="0"/>
          <w:smallCaps w:val="0"/>
          <w:strike w:val="0"/>
          <w:sz w:val="20"/>
          <w:highlight w:val="cyan"/>
          <w:u w:val="single"/>
        </w:rPr>
        <w:t>resolve</w:t>
      </w:r>
      <w:r>
        <w:rPr>
          <w:b w:val="0"/>
          <w:i w:val="0"/>
          <w:smallCaps w:val="0"/>
          <w:strike w:val="0"/>
          <w:sz w:val="20"/>
          <w:u w:val="single"/>
        </w:rPr>
        <w:t xml:space="preserve"> once and for all that the </w:t>
      </w:r>
      <w:r>
        <w:rPr>
          <w:b w:val="0"/>
          <w:i w:val="0"/>
          <w:smallCaps w:val="0"/>
          <w:strike w:val="0"/>
          <w:sz w:val="20"/>
          <w:highlight w:val="cyan"/>
          <w:u w:val="single"/>
        </w:rPr>
        <w:t>supposed conflict between</w:t>
      </w:r>
      <w:r>
        <w:rPr>
          <w:b w:val="0"/>
          <w:i w:val="0"/>
          <w:smallCaps w:val="0"/>
          <w:strike w:val="0"/>
          <w:sz w:val="20"/>
          <w:u w:val="single"/>
        </w:rPr>
        <w:t xml:space="preserve"> the Stern “</w:t>
      </w:r>
      <w:r>
        <w:rPr>
          <w:b w:val="0"/>
          <w:i w:val="0"/>
          <w:smallCaps w:val="0"/>
          <w:strike w:val="0"/>
          <w:sz w:val="20"/>
          <w:highlight w:val="cyan"/>
          <w:u w:val="single"/>
        </w:rPr>
        <w:t>historical antecedents</w:t>
      </w:r>
      <w:r>
        <w:rPr>
          <w:b w:val="0"/>
          <w:i w:val="0"/>
          <w:smallCaps w:val="0"/>
          <w:strike w:val="0"/>
          <w:sz w:val="20"/>
          <w:u w:val="single"/>
        </w:rPr>
        <w:t>” standard and the Shor five factor standard is illusory</w:t>
      </w:r>
      <w:r>
        <w:rPr>
          <w:b w:val="0"/>
          <w:i w:val="0"/>
          <w:smallCaps w:val="0"/>
          <w:strike w:val="0"/>
          <w:sz w:val="16"/>
          <w:u w:val="none"/>
        </w:rPr>
        <w:t xml:space="preserve">. At the same time, </w:t>
      </w:r>
      <w:r>
        <w:rPr>
          <w:b w:val="0"/>
          <w:i w:val="0"/>
          <w:smallCaps w:val="0"/>
          <w:strike w:val="0"/>
          <w:sz w:val="20"/>
          <w:highlight w:val="cyan"/>
          <w:u w:val="single"/>
        </w:rPr>
        <w:t>the Court</w:t>
      </w:r>
      <w:r>
        <w:rPr>
          <w:b w:val="0"/>
          <w:i w:val="0"/>
          <w:smallCaps w:val="0"/>
          <w:strike w:val="0"/>
          <w:sz w:val="20"/>
          <w:u w:val="single"/>
        </w:rPr>
        <w:t xml:space="preserve"> </w:t>
      </w:r>
      <w:r>
        <w:rPr>
          <w:b w:val="0"/>
          <w:i w:val="0"/>
          <w:smallCaps w:val="0"/>
          <w:strike w:val="0"/>
          <w:sz w:val="20"/>
          <w:u w:val="single"/>
        </w:rPr>
        <w:t xml:space="preserve">has the </w:t>
      </w:r>
      <w:r>
        <w:rPr>
          <w:b w:val="0"/>
          <w:i w:val="0"/>
          <w:smallCaps w:val="0"/>
          <w:strike w:val="0"/>
          <w:sz w:val="20"/>
          <w:highlight w:val="cyan"/>
          <w:u w:val="single"/>
        </w:rPr>
        <w:t>opportunity to</w:t>
      </w:r>
      <w:r>
        <w:rPr>
          <w:b w:val="0"/>
          <w:i w:val="0"/>
          <w:smallCaps w:val="0"/>
          <w:strike w:val="0"/>
          <w:sz w:val="20"/>
          <w:highlight w:val="cyan"/>
          <w:u w:val="single"/>
        </w:rPr>
        <w:t xml:space="preserve"> </w:t>
      </w:r>
      <w:r>
        <w:rPr>
          <w:b w:val="0"/>
          <w:i w:val="0"/>
          <w:smallCaps w:val="0"/>
          <w:strike w:val="0"/>
          <w:sz w:val="20"/>
          <w:highlight w:val="cyan"/>
          <w:u w:val="single"/>
        </w:rPr>
        <w:t>restore certainty</w:t>
      </w:r>
      <w:r>
        <w:rPr>
          <w:b w:val="0"/>
          <w:i w:val="0"/>
          <w:smallCaps w:val="0"/>
          <w:strike w:val="0"/>
          <w:sz w:val="20"/>
          <w:highlight w:val="cyan"/>
          <w:u w:val="single"/>
        </w:rPr>
        <w:t xml:space="preserve"> about the</w:t>
      </w:r>
      <w:r>
        <w:rPr>
          <w:b w:val="0"/>
          <w:i w:val="0"/>
          <w:smallCaps w:val="0"/>
          <w:strike w:val="0"/>
          <w:sz w:val="20"/>
          <w:u w:val="single"/>
        </w:rPr>
        <w:t xml:space="preserve"> “historical </w:t>
      </w:r>
      <w:r>
        <w:rPr>
          <w:b w:val="0"/>
          <w:i w:val="0"/>
          <w:smallCaps w:val="0"/>
          <w:strike w:val="0"/>
          <w:sz w:val="20"/>
          <w:highlight w:val="cyan"/>
          <w:u w:val="single"/>
        </w:rPr>
        <w:t>antecedents” test itself, holding with</w:t>
      </w:r>
      <w:r>
        <w:rPr>
          <w:b w:val="0"/>
          <w:i w:val="0"/>
          <w:smallCaps w:val="0"/>
          <w:strike w:val="0"/>
          <w:sz w:val="20"/>
          <w:u w:val="single"/>
        </w:rPr>
        <w:t xml:space="preserve"> absolute </w:t>
      </w:r>
      <w:r>
        <w:rPr>
          <w:b w:val="0"/>
          <w:i w:val="0"/>
          <w:smallCaps w:val="0"/>
          <w:strike w:val="0"/>
          <w:sz w:val="20"/>
          <w:highlight w:val="cyan"/>
          <w:u w:val="single"/>
        </w:rPr>
        <w:t>clarity that</w:t>
      </w:r>
      <w:r>
        <w:rPr>
          <w:b w:val="0"/>
          <w:i w:val="0"/>
          <w:smallCaps w:val="0"/>
          <w:strike w:val="0"/>
          <w:sz w:val="20"/>
          <w:u w:val="single"/>
        </w:rPr>
        <w:t xml:space="preserve"> this single standard </w:t>
      </w:r>
      <w:r>
        <w:rPr>
          <w:b w:val="0"/>
          <w:i w:val="0"/>
          <w:smallCaps w:val="0"/>
          <w:strike w:val="0"/>
          <w:sz w:val="20"/>
          <w:highlight w:val="cyan"/>
          <w:u w:val="single"/>
        </w:rPr>
        <w:t>applies to Congressional</w:t>
      </w:r>
      <w:r>
        <w:rPr>
          <w:b w:val="0"/>
          <w:i w:val="0"/>
          <w:smallCaps w:val="0"/>
          <w:strike w:val="0"/>
          <w:sz w:val="20"/>
          <w:u w:val="single"/>
        </w:rPr>
        <w:t xml:space="preserve"> agency </w:t>
      </w:r>
      <w:r>
        <w:rPr>
          <w:b w:val="0"/>
          <w:i w:val="0"/>
          <w:smallCaps w:val="0"/>
          <w:strike w:val="0"/>
          <w:sz w:val="20"/>
          <w:highlight w:val="cyan"/>
          <w:u w:val="single"/>
        </w:rPr>
        <w:t>delegations</w:t>
      </w:r>
      <w:r>
        <w:rPr>
          <w:b w:val="0"/>
          <w:i w:val="0"/>
          <w:smallCaps w:val="0"/>
          <w:strike w:val="0"/>
          <w:sz w:val="20"/>
          <w:u w:val="single"/>
        </w:rPr>
        <w:t>, no less than Congressional bankruptcy delegations.</w:t>
      </w:r>
      <w:r>
        <w:rPr>
          <w:b w:val="0"/>
          <w:i w:val="0"/>
          <w:smallCaps w:val="0"/>
          <w:strike w:val="0"/>
          <w:sz w:val="16"/>
          <w:u w:val="none"/>
        </w:rPr>
        <w:t xml:space="preserve"> And it applies to federal law claims that meet the test, no less than state law claims. </w:t>
      </w:r>
      <w:r>
        <w:rPr>
          <w:b w:val="0"/>
          <w:i w:val="0"/>
          <w:smallCaps w:val="0"/>
          <w:strike w:val="0"/>
          <w:sz w:val="20"/>
          <w:highlight w:val="cyan"/>
          <w:u w:val="single"/>
        </w:rPr>
        <w:t xml:space="preserve">This would </w:t>
      </w:r>
      <w:r>
        <w:rPr>
          <w:b w:val="0"/>
          <w:i w:val="0"/>
          <w:smallCaps w:val="0"/>
          <w:strike w:val="0"/>
          <w:sz w:val="20"/>
          <w:highlight w:val="cyan"/>
          <w:u w:val="single"/>
        </w:rPr>
        <w:t>prevent</w:t>
      </w:r>
      <w:r>
        <w:rPr>
          <w:b w:val="0"/>
          <w:i w:val="0"/>
          <w:smallCaps w:val="0"/>
          <w:strike w:val="0"/>
          <w:sz w:val="20"/>
          <w:u w:val="single"/>
        </w:rPr>
        <w:t xml:space="preserve"> future </w:t>
      </w:r>
      <w:r>
        <w:rPr>
          <w:b w:val="0"/>
          <w:i w:val="0"/>
          <w:smallCaps w:val="0"/>
          <w:strike w:val="0"/>
          <w:sz w:val="20"/>
          <w:highlight w:val="cyan"/>
          <w:u w:val="single"/>
        </w:rPr>
        <w:t>confusion of the type that led to the</w:t>
      </w:r>
      <w:r>
        <w:rPr>
          <w:b w:val="0"/>
          <w:i w:val="0"/>
          <w:smallCaps w:val="0"/>
          <w:strike w:val="0"/>
          <w:sz w:val="20"/>
          <w:u w:val="single"/>
        </w:rPr>
        <w:t xml:space="preserve"> Federal </w:t>
      </w:r>
      <w:r>
        <w:rPr>
          <w:b w:val="0"/>
          <w:i w:val="0"/>
          <w:smallCaps w:val="0"/>
          <w:strike w:val="0"/>
          <w:sz w:val="20"/>
          <w:highlight w:val="cyan"/>
          <w:u w:val="single"/>
        </w:rPr>
        <w:t xml:space="preserve">Circuit’s </w:t>
      </w:r>
      <w:r>
        <w:rPr>
          <w:b w:val="0"/>
          <w:i w:val="0"/>
          <w:smallCaps w:val="0"/>
          <w:strike w:val="0"/>
          <w:sz w:val="20"/>
          <w:highlight w:val="cyan"/>
          <w:u w:val="single"/>
        </w:rPr>
        <w:t>erroneous and dangerous</w:t>
      </w:r>
      <w:r>
        <w:rPr>
          <w:b w:val="0"/>
          <w:i w:val="0"/>
          <w:smallCaps w:val="0"/>
          <w:strike w:val="0"/>
          <w:sz w:val="20"/>
          <w:highlight w:val="cyan"/>
          <w:u w:val="single"/>
        </w:rPr>
        <w:t xml:space="preserve"> deviation from</w:t>
      </w:r>
      <w:r>
        <w:rPr>
          <w:b w:val="0"/>
          <w:i w:val="0"/>
          <w:smallCaps w:val="0"/>
          <w:strike w:val="0"/>
          <w:sz w:val="20"/>
          <w:u w:val="single"/>
        </w:rPr>
        <w:t xml:space="preserve"> correct </w:t>
      </w:r>
      <w:r>
        <w:rPr>
          <w:b w:val="0"/>
          <w:i w:val="0"/>
          <w:smallCaps w:val="0"/>
          <w:strike w:val="0"/>
          <w:sz w:val="20"/>
          <w:highlight w:val="cyan"/>
          <w:u w:val="single"/>
        </w:rPr>
        <w:t>constitutional law</w:t>
      </w:r>
      <w:r>
        <w:rPr>
          <w:b w:val="0"/>
          <w:i w:val="0"/>
          <w:smallCaps w:val="0"/>
          <w:strike w:val="0"/>
          <w:sz w:val="20"/>
          <w:u w:val="single"/>
        </w:rPr>
        <w:t>.</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