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It fails to solve precedent.</w:t>
      </w:r>
    </w:p>
    <w:p>
      <w:pPr>
        <w:spacing w:after="80"/>
      </w:pPr>
      <w:r>
        <w:rPr>
          <w:b/>
          <w:i w:val="0"/>
          <w:smallCaps w:val="0"/>
          <w:strike w:val="0"/>
          <w:sz w:val="24"/>
          <w:u w:val="none"/>
        </w:rPr>
        <w:t xml:space="preserve">Dickman ’20 </w:t>
      </w:r>
      <w:r>
        <w:rPr>
          <w:b w:val="0"/>
          <w:i w:val="0"/>
          <w:smallCaps w:val="0"/>
          <w:strike w:val="0"/>
          <w:sz w:val="20"/>
          <w:u w:val="none"/>
        </w:rPr>
        <w:t>[</w:t>
      </w:r>
      <w:r>
        <w:rPr>
          <w:b w:val="0"/>
          <w:i w:val="0"/>
          <w:smallCaps w:val="0"/>
          <w:strike w:val="0"/>
          <w:sz w:val="20"/>
          <w:u w:val="none"/>
        </w:rPr>
        <w:t xml:space="preserve">Henry J. Dickman has a JD from Virginia School of Law and Winner of the Roger and Madeleine Traynor Prize; 10/19/2020; </w:t>
      </w:r>
      <w:r>
        <w:rPr>
          <w:b w:val="0"/>
          <w:i/>
          <w:smallCaps w:val="0"/>
          <w:strike w:val="0"/>
          <w:sz w:val="20"/>
          <w:u w:val="none"/>
        </w:rPr>
        <w:t>Virginia Law Review</w:t>
      </w:r>
      <w:r>
        <w:rPr>
          <w:b w:val="0"/>
          <w:i w:val="0"/>
          <w:smallCaps w:val="0"/>
          <w:strike w:val="0"/>
          <w:sz w:val="20"/>
          <w:u w:val="none"/>
        </w:rPr>
        <w:t xml:space="preserve">; Volume 106, No. 6; “Conflicts of Precedent,” </w:t>
      </w:r>
      <w:r>
        <w:rPr>
          <w:b w:val="0"/>
          <w:i w:val="0"/>
          <w:smallCaps w:val="0"/>
          <w:strike w:val="0"/>
          <w:sz w:val="20"/>
          <w:u w:val="none"/>
        </w:rPr>
        <w:t>https://virginialawreview.org/articles/conflicts-precedent/</w:t>
      </w:r>
      <w:r>
        <w:rPr>
          <w:b w:val="0"/>
          <w:i w:val="0"/>
          <w:smallCaps w:val="0"/>
          <w:strike w:val="0"/>
          <w:sz w:val="20"/>
          <w:u w:val="none"/>
        </w:rPr>
        <w:t>]//LASA-AB</w:t>
      </w:r>
    </w:p>
    <w:p>
      <w:pPr>
        <w:spacing w:after="60"/>
      </w:pPr>
      <w:r>
        <w:rPr>
          <w:b w:val="0"/>
          <w:i w:val="0"/>
          <w:smallCaps w:val="0"/>
          <w:strike w:val="0"/>
          <w:sz w:val="16"/>
          <w:u w:val="none"/>
        </w:rPr>
        <w:t xml:space="preserve">This type of case poses a significant dilemma for stare decisis in the federal courts of appeals. Under the law of the circuit doctrine, circuit precedents are binding on that court unless a majority of active judges in the circuit overturn a decision in an </w:t>
      </w:r>
      <w:r>
        <w:rPr>
          <w:b w:val="0"/>
          <w:i w:val="0"/>
          <w:smallCaps w:val="0"/>
          <w:strike w:val="0"/>
          <w:sz w:val="16"/>
          <w:u w:val="none"/>
        </w:rPr>
        <w:t>en</w:t>
      </w:r>
      <w:r>
        <w:rPr>
          <w:b w:val="0"/>
          <w:i w:val="0"/>
          <w:smallCaps w:val="0"/>
          <w:strike w:val="0"/>
          <w:sz w:val="16"/>
          <w:u w:val="none"/>
        </w:rPr>
        <w:t xml:space="preserve"> banc proceeding or the precedent is directly overruled by the Supreme Court.6 But in some circuits, </w:t>
      </w:r>
      <w:r>
        <w:rPr>
          <w:b w:val="0"/>
          <w:i w:val="0"/>
          <w:smallCaps w:val="0"/>
          <w:strike w:val="0"/>
          <w:sz w:val="20"/>
          <w:highlight w:val="cyan"/>
          <w:u w:val="single"/>
        </w:rPr>
        <w:t>when a Supreme Court decision casts doubt</w:t>
      </w:r>
      <w:r>
        <w:rPr>
          <w:b w:val="0"/>
          <w:i w:val="0"/>
          <w:smallCaps w:val="0"/>
          <w:strike w:val="0"/>
          <w:sz w:val="20"/>
          <w:u w:val="single"/>
        </w:rPr>
        <w:t xml:space="preserve"> on—</w:t>
      </w:r>
      <w:r>
        <w:rPr>
          <w:b w:val="0"/>
          <w:i w:val="0"/>
          <w:smallCaps w:val="0"/>
          <w:strike w:val="0"/>
          <w:sz w:val="20"/>
          <w:highlight w:val="cyan"/>
          <w:u w:val="single"/>
        </w:rPr>
        <w:t>without directly overruling—a prior</w:t>
      </w:r>
      <w:r>
        <w:rPr>
          <w:b w:val="0"/>
          <w:i w:val="0"/>
          <w:smallCaps w:val="0"/>
          <w:strike w:val="0"/>
          <w:sz w:val="20"/>
          <w:u w:val="single"/>
        </w:rPr>
        <w:t xml:space="preserve"> circuit </w:t>
      </w:r>
      <w:r>
        <w:rPr>
          <w:b w:val="0"/>
          <w:i w:val="0"/>
          <w:smallCaps w:val="0"/>
          <w:strike w:val="0"/>
          <w:sz w:val="20"/>
          <w:highlight w:val="cyan"/>
          <w:u w:val="single"/>
        </w:rPr>
        <w:t>precedent</w:t>
      </w:r>
      <w:r>
        <w:rPr>
          <w:b w:val="0"/>
          <w:i w:val="0"/>
          <w:smallCaps w:val="0"/>
          <w:strike w:val="0"/>
          <w:sz w:val="20"/>
          <w:u w:val="single"/>
        </w:rPr>
        <w:t xml:space="preserve">, a panel of court of appeals </w:t>
      </w:r>
      <w:r>
        <w:rPr>
          <w:b w:val="0"/>
          <w:i w:val="0"/>
          <w:smallCaps w:val="0"/>
          <w:strike w:val="0"/>
          <w:sz w:val="20"/>
          <w:highlight w:val="cyan"/>
          <w:u w:val="single"/>
        </w:rPr>
        <w:t>judges can overrule that</w:t>
      </w:r>
      <w:r>
        <w:rPr>
          <w:b w:val="0"/>
          <w:i w:val="0"/>
          <w:smallCaps w:val="0"/>
          <w:strike w:val="0"/>
          <w:sz w:val="20"/>
          <w:u w:val="single"/>
        </w:rPr>
        <w:t xml:space="preserve"> precedent </w:t>
      </w:r>
      <w:r>
        <w:rPr>
          <w:b w:val="0"/>
          <w:i w:val="0"/>
          <w:smallCaps w:val="0"/>
          <w:strike w:val="0"/>
          <w:sz w:val="20"/>
          <w:highlight w:val="cyan"/>
          <w:u w:val="single"/>
        </w:rPr>
        <w:t>and bypass a</w:t>
      </w:r>
      <w:r>
        <w:rPr>
          <w:b w:val="0"/>
          <w:i w:val="0"/>
          <w:smallCaps w:val="0"/>
          <w:strike w:val="0"/>
          <w:sz w:val="20"/>
          <w:u w:val="single"/>
        </w:rPr>
        <w:t xml:space="preserve">n </w:t>
      </w:r>
      <w:r>
        <w:rPr>
          <w:b w:val="0"/>
          <w:i w:val="0"/>
          <w:smallCaps w:val="0"/>
          <w:strike w:val="0"/>
          <w:sz w:val="20"/>
          <w:u w:val="single"/>
        </w:rPr>
        <w:t>en</w:t>
      </w:r>
      <w:r>
        <w:rPr>
          <w:b w:val="0"/>
          <w:i w:val="0"/>
          <w:smallCaps w:val="0"/>
          <w:strike w:val="0"/>
          <w:sz w:val="20"/>
          <w:u w:val="single"/>
        </w:rPr>
        <w:t xml:space="preserve"> banc </w:t>
      </w:r>
      <w:r>
        <w:rPr>
          <w:b w:val="0"/>
          <w:i w:val="0"/>
          <w:smallCaps w:val="0"/>
          <w:strike w:val="0"/>
          <w:sz w:val="20"/>
          <w:highlight w:val="cyan"/>
          <w:u w:val="single"/>
        </w:rPr>
        <w:t>proceeding</w:t>
      </w:r>
      <w:r>
        <w:rPr>
          <w:b w:val="0"/>
          <w:i w:val="0"/>
          <w:smallCaps w:val="0"/>
          <w:strike w:val="0"/>
          <w:sz w:val="16"/>
          <w:u w:val="none"/>
        </w:rPr>
        <w:t xml:space="preserve">.7 In other circuits, </w:t>
      </w:r>
      <w:r>
        <w:rPr>
          <w:b w:val="0"/>
          <w:i w:val="0"/>
          <w:smallCaps w:val="0"/>
          <w:strike w:val="0"/>
          <w:sz w:val="20"/>
          <w:highlight w:val="cyan"/>
          <w:u w:val="single"/>
        </w:rPr>
        <w:t>a panel’s authority</w:t>
      </w:r>
      <w:r>
        <w:rPr>
          <w:b w:val="0"/>
          <w:i w:val="0"/>
          <w:smallCaps w:val="0"/>
          <w:strike w:val="0"/>
          <w:sz w:val="20"/>
          <w:u w:val="single"/>
        </w:rPr>
        <w:t xml:space="preserve"> to overrule circuit precedent under these circumstances </w:t>
      </w:r>
      <w:r>
        <w:rPr>
          <w:b w:val="0"/>
          <w:i w:val="0"/>
          <w:smallCaps w:val="0"/>
          <w:strike w:val="0"/>
          <w:sz w:val="20"/>
          <w:highlight w:val="cyan"/>
          <w:u w:val="single"/>
        </w:rPr>
        <w:t>is</w:t>
      </w:r>
      <w:r>
        <w:rPr>
          <w:b w:val="0"/>
          <w:i w:val="0"/>
          <w:smallCaps w:val="0"/>
          <w:strike w:val="0"/>
          <w:sz w:val="16"/>
          <w:u w:val="none"/>
        </w:rPr>
        <w:t xml:space="preserve"> very narrowly </w:t>
      </w:r>
      <w:r>
        <w:rPr>
          <w:b w:val="0"/>
          <w:i w:val="0"/>
          <w:smallCaps w:val="0"/>
          <w:strike w:val="0"/>
          <w:sz w:val="20"/>
          <w:highlight w:val="cyan"/>
          <w:u w:val="single"/>
        </w:rPr>
        <w:t>circumscribed</w:t>
      </w:r>
      <w:r>
        <w:rPr>
          <w:b w:val="0"/>
          <w:i w:val="0"/>
          <w:smallCaps w:val="0"/>
          <w:strike w:val="0"/>
          <w:sz w:val="16"/>
          <w:u w:val="none"/>
        </w:rPr>
        <w:t xml:space="preserve">.8 This type of situation commonly arises when the Supreme Court interprets a statute that bears some relation to the one addressed by a circuit precedent. </w:t>
      </w:r>
      <w:r>
        <w:rPr>
          <w:b w:val="0"/>
          <w:i w:val="0"/>
          <w:smallCaps w:val="0"/>
          <w:strike w:val="0"/>
          <w:sz w:val="20"/>
          <w:highlight w:val="cyan"/>
          <w:u w:val="single"/>
        </w:rPr>
        <w:t>The issue</w:t>
      </w:r>
      <w:r>
        <w:rPr>
          <w:b w:val="0"/>
          <w:i w:val="0"/>
          <w:smallCaps w:val="0"/>
          <w:strike w:val="0"/>
          <w:sz w:val="20"/>
          <w:u w:val="single"/>
        </w:rPr>
        <w:t xml:space="preserve"> also </w:t>
      </w:r>
      <w:r>
        <w:rPr>
          <w:b w:val="0"/>
          <w:i w:val="0"/>
          <w:smallCaps w:val="0"/>
          <w:strike w:val="0"/>
          <w:sz w:val="20"/>
          <w:highlight w:val="cyan"/>
          <w:u w:val="single"/>
        </w:rPr>
        <w:t>presents itself when the</w:t>
      </w:r>
      <w:r>
        <w:rPr>
          <w:b w:val="0"/>
          <w:i w:val="0"/>
          <w:smallCaps w:val="0"/>
          <w:strike w:val="0"/>
          <w:sz w:val="20"/>
          <w:u w:val="single"/>
        </w:rPr>
        <w:t xml:space="preserve"> Supreme </w:t>
      </w:r>
      <w:r>
        <w:rPr>
          <w:b w:val="0"/>
          <w:i w:val="0"/>
          <w:smallCaps w:val="0"/>
          <w:strike w:val="0"/>
          <w:sz w:val="20"/>
          <w:highlight w:val="cyan"/>
          <w:u w:val="single"/>
        </w:rPr>
        <w:t>Court interprets the</w:t>
      </w:r>
      <w:r>
        <w:rPr>
          <w:b w:val="0"/>
          <w:i w:val="0"/>
          <w:smallCaps w:val="0"/>
          <w:strike w:val="0"/>
          <w:sz w:val="20"/>
          <w:u w:val="single"/>
        </w:rPr>
        <w:t xml:space="preserve"> same constitutional or statutory </w:t>
      </w:r>
      <w:r>
        <w:rPr>
          <w:b w:val="0"/>
          <w:i w:val="0"/>
          <w:smallCaps w:val="0"/>
          <w:strike w:val="0"/>
          <w:sz w:val="20"/>
          <w:highlight w:val="cyan"/>
          <w:u w:val="single"/>
        </w:rPr>
        <w:t>provision</w:t>
      </w:r>
      <w:r>
        <w:rPr>
          <w:b w:val="0"/>
          <w:i w:val="0"/>
          <w:smallCaps w:val="0"/>
          <w:strike w:val="0"/>
          <w:sz w:val="20"/>
          <w:u w:val="single"/>
        </w:rPr>
        <w:t xml:space="preserve"> as the circuit precedent but considers </w:t>
      </w:r>
      <w:r>
        <w:rPr>
          <w:b w:val="0"/>
          <w:i w:val="0"/>
          <w:smallCaps w:val="0"/>
          <w:strike w:val="0"/>
          <w:sz w:val="20"/>
          <w:highlight w:val="cyan"/>
          <w:u w:val="single"/>
        </w:rPr>
        <w:t>different</w:t>
      </w:r>
      <w:r>
        <w:rPr>
          <w:b w:val="0"/>
          <w:i w:val="0"/>
          <w:smallCaps w:val="0"/>
          <w:strike w:val="0"/>
          <w:sz w:val="20"/>
          <w:u w:val="single"/>
        </w:rPr>
        <w:t xml:space="preserve"> factual subject matter.</w:t>
      </w:r>
    </w:p>
    <w:p>
      <w:pPr>
        <w:spacing w:after="60"/>
      </w:pPr>
      <w:r>
        <w:rPr>
          <w:b w:val="0"/>
          <w:i w:val="0"/>
          <w:smallCaps w:val="0"/>
          <w:strike w:val="0"/>
          <w:sz w:val="20"/>
          <w:highlight w:val="cyan"/>
          <w:u w:val="single"/>
        </w:rPr>
        <w:t>The problem of undermined-but-not-overruled</w:t>
      </w:r>
      <w:r>
        <w:rPr>
          <w:b w:val="0"/>
          <w:i w:val="0"/>
          <w:smallCaps w:val="0"/>
          <w:strike w:val="0"/>
          <w:sz w:val="20"/>
          <w:u w:val="single"/>
        </w:rPr>
        <w:t xml:space="preserve"> circuit precedent </w:t>
      </w:r>
      <w:r>
        <w:rPr>
          <w:b w:val="0"/>
          <w:i w:val="0"/>
          <w:smallCaps w:val="0"/>
          <w:strike w:val="0"/>
          <w:sz w:val="20"/>
          <w:highlight w:val="cyan"/>
          <w:u w:val="single"/>
        </w:rPr>
        <w:t xml:space="preserve">is a </w:t>
      </w:r>
      <w:r>
        <w:rPr>
          <w:b w:val="0"/>
          <w:i w:val="0"/>
          <w:smallCaps w:val="0"/>
          <w:strike w:val="0"/>
          <w:sz w:val="20"/>
          <w:highlight w:val="cyan"/>
          <w:u w:val="single"/>
        </w:rPr>
        <w:t>recurring dilemma</w:t>
      </w:r>
      <w:r>
        <w:rPr>
          <w:b w:val="0"/>
          <w:i w:val="0"/>
          <w:smallCaps w:val="0"/>
          <w:strike w:val="0"/>
          <w:sz w:val="20"/>
          <w:u w:val="single"/>
        </w:rPr>
        <w:t xml:space="preserve"> for federal courts of appeals</w:t>
      </w:r>
      <w:r>
        <w:rPr>
          <w:b w:val="0"/>
          <w:i w:val="0"/>
          <w:smallCaps w:val="0"/>
          <w:strike w:val="0"/>
          <w:sz w:val="16"/>
          <w:u w:val="none"/>
        </w:rPr>
        <w:t xml:space="preserve">.9 The Sixth Circuit, for example, recently faced this dilemma </w:t>
      </w:r>
      <w:r>
        <w:rPr>
          <w:b w:val="0"/>
          <w:i w:val="0"/>
          <w:smallCaps w:val="0"/>
          <w:strike w:val="0"/>
          <w:sz w:val="20"/>
          <w:highlight w:val="cyan"/>
          <w:u w:val="single"/>
        </w:rPr>
        <w:t>in Jacobs v. Alam</w:t>
      </w:r>
      <w:r>
        <w:rPr>
          <w:b w:val="0"/>
          <w:i w:val="0"/>
          <w:smallCaps w:val="0"/>
          <w:strike w:val="0"/>
          <w:sz w:val="16"/>
          <w:u w:val="none"/>
        </w:rPr>
        <w:t xml:space="preserve">.10 The plaintiff filed a Bivens11 action against federal law enforcement agents to recover damages for excessive force, false arrest, malicious prosecution, fabrication of evidence, and civil conspiracy.12 The Sixth Circuit (but not the Supreme Court) had previously recognized Bivens claims for damages in all of those contexts.13 But after those Sixth Circuit decisions, the Supreme Court decided Ziglar v. Abbasi, which concluded that if a case presents a new Bivens context that is “different in a meaningful way from previous Bivens cases decided by [the Supreme] Court,” then the deciding court should not make a Bivens remedy available if there are “special factors counselling hesitation.”14 The Sixth Circuit panel in Jacobs recognized that had Abbasi not been decided, “defendants’ appeal would have no merit” under circuit precedent.15 But although Abbasi did not directly overrule those Bivens circuit precedents,16 the decision called into question whether they were still good law, or whether the court needed to perform a special factors analysis. Ultimately, </w:t>
      </w:r>
      <w:r>
        <w:rPr>
          <w:b w:val="0"/>
          <w:i w:val="0"/>
          <w:smallCaps w:val="0"/>
          <w:strike w:val="0"/>
          <w:sz w:val="20"/>
          <w:highlight w:val="cyan"/>
          <w:u w:val="single"/>
        </w:rPr>
        <w:t>the</w:t>
      </w:r>
      <w:r>
        <w:rPr>
          <w:b w:val="0"/>
          <w:i w:val="0"/>
          <w:smallCaps w:val="0"/>
          <w:strike w:val="0"/>
          <w:sz w:val="20"/>
          <w:u w:val="single"/>
        </w:rPr>
        <w:t xml:space="preserve"> Jacobs </w:t>
      </w:r>
      <w:r>
        <w:rPr>
          <w:b w:val="0"/>
          <w:i w:val="0"/>
          <w:smallCaps w:val="0"/>
          <w:strike w:val="0"/>
          <w:sz w:val="20"/>
          <w:highlight w:val="cyan"/>
          <w:u w:val="single"/>
        </w:rPr>
        <w:t>panel did not “deem</w:t>
      </w:r>
      <w:r>
        <w:rPr>
          <w:b w:val="0"/>
          <w:i w:val="0"/>
          <w:smallCaps w:val="0"/>
          <w:strike w:val="0"/>
          <w:sz w:val="20"/>
          <w:u w:val="single"/>
        </w:rPr>
        <w:t xml:space="preserve"> these Sixth Circuit </w:t>
      </w:r>
      <w:r>
        <w:rPr>
          <w:b w:val="0"/>
          <w:i w:val="0"/>
          <w:smallCaps w:val="0"/>
          <w:strike w:val="0"/>
          <w:sz w:val="20"/>
          <w:highlight w:val="cyan"/>
          <w:u w:val="single"/>
        </w:rPr>
        <w:t xml:space="preserve">precedents </w:t>
      </w:r>
      <w:r>
        <w:rPr>
          <w:b w:val="0"/>
          <w:i w:val="0"/>
          <w:smallCaps w:val="0"/>
          <w:strike w:val="0"/>
          <w:sz w:val="20"/>
          <w:highlight w:val="cyan"/>
          <w:u w:val="single"/>
        </w:rPr>
        <w:t>inconsistent</w:t>
      </w:r>
      <w:r>
        <w:rPr>
          <w:b w:val="0"/>
          <w:i w:val="0"/>
          <w:smallCaps w:val="0"/>
          <w:strike w:val="0"/>
          <w:sz w:val="20"/>
          <w:u w:val="single"/>
        </w:rPr>
        <w:t xml:space="preserve"> with Ziglar [v. Abbasi],” and thus, it concluded that it was bound to follow them without resort to a special factors analysis</w:t>
      </w:r>
      <w:r>
        <w:rPr>
          <w:b w:val="0"/>
          <w:i w:val="0"/>
          <w:smallCaps w:val="0"/>
          <w:strike w:val="0"/>
          <w:sz w:val="16"/>
          <w:u w:val="none"/>
        </w:rPr>
        <w:t>.17</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