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No link – Court processes work concurrent with the IPR</w:t>
      </w:r>
    </w:p>
    <w:p>
      <w:pPr>
        <w:spacing w:after="80"/>
      </w:pPr>
      <w:r>
        <w:rPr>
          <w:b/>
          <w:i w:val="0"/>
          <w:smallCaps w:val="0"/>
          <w:strike w:val="0"/>
          <w:sz w:val="24"/>
          <w:u w:val="none"/>
        </w:rPr>
        <w:t>Venable</w:t>
      </w:r>
      <w:r>
        <w:rPr>
          <w:b w:val="0"/>
          <w:i w:val="0"/>
          <w:smallCaps w:val="0"/>
          <w:strike w:val="0"/>
          <w:sz w:val="20"/>
          <w:u w:val="none"/>
        </w:rPr>
        <w:t>, 8-21-20</w:t>
      </w:r>
      <w:r>
        <w:rPr>
          <w:b/>
          <w:i w:val="0"/>
          <w:smallCaps w:val="0"/>
          <w:strike w:val="0"/>
          <w:sz w:val="24"/>
          <w:u w:val="none"/>
        </w:rPr>
        <w:t>14</w:t>
      </w:r>
      <w:r>
        <w:rPr>
          <w:b w:val="0"/>
          <w:i w:val="0"/>
          <w:smallCaps w:val="0"/>
          <w:strike w:val="0"/>
          <w:sz w:val="20"/>
          <w:u w:val="none"/>
        </w:rPr>
        <w:t>, "Consider this Potential Downside of Inter Partes Review: Denial of the Petition May Be Used Against You in a Concurrent District Court Litigation," Venable, https://www.venable.com/insights/publications/2014/08/consider-this-potential-downside-of-eminter-partes</w:t>
      </w:r>
    </w:p>
    <w:p>
      <w:pPr>
        <w:spacing w:after="60"/>
      </w:pPr>
      <w:r>
        <w:rPr>
          <w:b w:val="0"/>
          <w:i w:val="0"/>
          <w:smallCaps w:val="0"/>
          <w:strike w:val="0"/>
          <w:sz w:val="20"/>
          <w:u w:val="none"/>
        </w:rPr>
        <w:t xml:space="preserve">In many instances, it may be advantageous to challenge patent validity via an AIA trial in front of the Patent Trial and Appeal Board (PTAB). </w:t>
      </w:r>
      <w:r>
        <w:rPr>
          <w:b w:val="0"/>
          <w:i w:val="0"/>
          <w:smallCaps w:val="0"/>
          <w:strike w:val="0"/>
          <w:sz w:val="20"/>
          <w:u w:val="single"/>
        </w:rPr>
        <w:t xml:space="preserve">Despite </w:t>
      </w:r>
      <w:r>
        <w:rPr>
          <w:b w:val="0"/>
          <w:i w:val="0"/>
          <w:smallCaps w:val="0"/>
          <w:strike w:val="0"/>
          <w:sz w:val="20"/>
          <w:u w:val="single"/>
        </w:rPr>
        <w:t>all of</w:t>
      </w:r>
      <w:r>
        <w:rPr>
          <w:b w:val="0"/>
          <w:i w:val="0"/>
          <w:smallCaps w:val="0"/>
          <w:strike w:val="0"/>
          <w:sz w:val="20"/>
          <w:u w:val="single"/>
        </w:rPr>
        <w:t xml:space="preserve"> the advantages to an AIA trial, a potential </w:t>
      </w:r>
      <w:r>
        <w:rPr>
          <w:b w:val="0"/>
          <w:i w:val="0"/>
          <w:smallCaps w:val="0"/>
          <w:strike w:val="0"/>
          <w:sz w:val="20"/>
          <w:highlight w:val="cyan"/>
          <w:u w:val="single"/>
        </w:rPr>
        <w:t>AIA trial petitioner should also consider</w:t>
      </w:r>
      <w:r>
        <w:rPr>
          <w:b w:val="0"/>
          <w:i w:val="0"/>
          <w:smallCaps w:val="0"/>
          <w:strike w:val="0"/>
          <w:sz w:val="20"/>
          <w:u w:val="single"/>
        </w:rPr>
        <w:t xml:space="preserve"> the </w:t>
      </w:r>
      <w:r>
        <w:rPr>
          <w:b w:val="0"/>
          <w:i w:val="0"/>
          <w:smallCaps w:val="0"/>
          <w:strike w:val="0"/>
          <w:sz w:val="20"/>
          <w:highlight w:val="cyan"/>
          <w:u w:val="single"/>
        </w:rPr>
        <w:t>potential downsides</w:t>
      </w:r>
      <w:r>
        <w:rPr>
          <w:b w:val="0"/>
          <w:i w:val="0"/>
          <w:smallCaps w:val="0"/>
          <w:strike w:val="0"/>
          <w:sz w:val="20"/>
          <w:u w:val="single"/>
        </w:rPr>
        <w:t xml:space="preserve"> particularly when </w:t>
      </w:r>
      <w:r>
        <w:rPr>
          <w:b w:val="0"/>
          <w:i w:val="0"/>
          <w:smallCaps w:val="0"/>
          <w:strike w:val="0"/>
          <w:sz w:val="20"/>
          <w:highlight w:val="cyan"/>
          <w:u w:val="single"/>
        </w:rPr>
        <w:t>involved in</w:t>
      </w:r>
      <w:r>
        <w:rPr>
          <w:b w:val="0"/>
          <w:i w:val="0"/>
          <w:smallCaps w:val="0"/>
          <w:strike w:val="0"/>
          <w:sz w:val="20"/>
          <w:u w:val="single"/>
        </w:rPr>
        <w:t xml:space="preserve"> concurrent </w:t>
      </w:r>
      <w:r>
        <w:rPr>
          <w:b w:val="0"/>
          <w:i w:val="0"/>
          <w:smallCaps w:val="0"/>
          <w:strike w:val="0"/>
          <w:sz w:val="20"/>
          <w:highlight w:val="cyan"/>
          <w:u w:val="single"/>
        </w:rPr>
        <w:t>district court litigatio</w:t>
      </w:r>
      <w:r>
        <w:rPr>
          <w:b w:val="0"/>
          <w:i w:val="0"/>
          <w:smallCaps w:val="0"/>
          <w:strike w:val="0"/>
          <w:sz w:val="20"/>
          <w:u w:val="single"/>
        </w:rPr>
        <w:t xml:space="preserve">n. One such potential downside – that the </w:t>
      </w:r>
      <w:r>
        <w:rPr>
          <w:b w:val="0"/>
          <w:i w:val="0"/>
          <w:smallCaps w:val="0"/>
          <w:strike w:val="0"/>
          <w:sz w:val="20"/>
          <w:highlight w:val="cyan"/>
          <w:u w:val="single"/>
        </w:rPr>
        <w:t xml:space="preserve">denial of a </w:t>
      </w:r>
      <w:r>
        <w:rPr>
          <w:b w:val="0"/>
          <w:i w:val="0"/>
          <w:smallCaps w:val="0"/>
          <w:strike w:val="0"/>
          <w:sz w:val="20"/>
          <w:highlight w:val="cyan"/>
          <w:u w:val="single"/>
        </w:rPr>
        <w:t>petition</w:t>
      </w:r>
      <w:r>
        <w:rPr>
          <w:b w:val="0"/>
          <w:i w:val="0"/>
          <w:smallCaps w:val="0"/>
          <w:strike w:val="0"/>
          <w:sz w:val="20"/>
          <w:highlight w:val="cyan"/>
          <w:u w:val="single"/>
        </w:rPr>
        <w:t xml:space="preserve"> for an</w:t>
      </w:r>
      <w:r>
        <w:rPr>
          <w:b w:val="0"/>
          <w:i w:val="0"/>
          <w:smallCaps w:val="0"/>
          <w:strike w:val="0"/>
          <w:sz w:val="20"/>
          <w:u w:val="single"/>
        </w:rPr>
        <w:t xml:space="preserve"> inter partes review (</w:t>
      </w:r>
      <w:r>
        <w:rPr>
          <w:b w:val="0"/>
          <w:i w:val="0"/>
          <w:smallCaps w:val="0"/>
          <w:strike w:val="0"/>
          <w:sz w:val="20"/>
          <w:highlight w:val="cyan"/>
          <w:u w:val="single"/>
        </w:rPr>
        <w:t>IPR</w:t>
      </w:r>
      <w:r>
        <w:rPr>
          <w:b w:val="0"/>
          <w:i w:val="0"/>
          <w:smallCaps w:val="0"/>
          <w:strike w:val="0"/>
          <w:sz w:val="20"/>
          <w:u w:val="single"/>
        </w:rPr>
        <w:t xml:space="preserve">) </w:t>
      </w:r>
      <w:r>
        <w:rPr>
          <w:b w:val="0"/>
          <w:i w:val="0"/>
          <w:smallCaps w:val="0"/>
          <w:strike w:val="0"/>
          <w:sz w:val="20"/>
          <w:highlight w:val="cyan"/>
          <w:u w:val="single"/>
        </w:rPr>
        <w:t xml:space="preserve">may </w:t>
      </w:r>
      <w:r>
        <w:rPr>
          <w:b w:val="0"/>
          <w:i w:val="0"/>
          <w:smallCaps w:val="0"/>
          <w:strike w:val="0"/>
          <w:sz w:val="20"/>
          <w:highlight w:val="cyan"/>
          <w:u w:val="single"/>
        </w:rPr>
        <w:t>be used against the petitioner</w:t>
      </w:r>
      <w:r>
        <w:rPr>
          <w:b w:val="0"/>
          <w:i w:val="0"/>
          <w:smallCaps w:val="0"/>
          <w:strike w:val="0"/>
          <w:sz w:val="20"/>
          <w:u w:val="single"/>
        </w:rPr>
        <w:t xml:space="preserve"> – is illustrated by a recent summary judgment decision in the District Court of the Southern District of Ohio.1</w:t>
      </w:r>
    </w:p>
    <w:p>
      <w:pPr>
        <w:spacing w:after="60"/>
      </w:pPr>
      <w:r>
        <w:rPr>
          <w:b w:val="0"/>
          <w:i w:val="0"/>
          <w:smallCaps w:val="0"/>
          <w:strike w:val="0"/>
          <w:sz w:val="20"/>
          <w:u w:val="single"/>
        </w:rPr>
        <w:t xml:space="preserve">Procedurally, the </w:t>
      </w:r>
      <w:r>
        <w:rPr>
          <w:b w:val="0"/>
          <w:i w:val="0"/>
          <w:smallCaps w:val="0"/>
          <w:strike w:val="0"/>
          <w:sz w:val="20"/>
          <w:highlight w:val="cyan"/>
          <w:u w:val="single"/>
        </w:rPr>
        <w:t xml:space="preserve">litigation involves </w:t>
      </w:r>
      <w:r>
        <w:rPr>
          <w:b w:val="0"/>
          <w:i w:val="0"/>
          <w:smallCaps w:val="0"/>
          <w:strike w:val="0"/>
          <w:sz w:val="20"/>
          <w:highlight w:val="cyan"/>
          <w:u w:val="single"/>
        </w:rPr>
        <w:t>a pattern that has become quite common</w:t>
      </w:r>
      <w:r>
        <w:rPr>
          <w:b w:val="0"/>
          <w:i w:val="0"/>
          <w:smallCaps w:val="0"/>
          <w:strike w:val="0"/>
          <w:sz w:val="20"/>
          <w:highlight w:val="cyan"/>
          <w:u w:val="single"/>
        </w:rPr>
        <w:t xml:space="preserve"> with the availability of AIA trials</w:t>
      </w:r>
      <w:r>
        <w:rPr>
          <w:b w:val="0"/>
          <w:i w:val="0"/>
          <w:smallCaps w:val="0"/>
          <w:strike w:val="0"/>
          <w:sz w:val="20"/>
          <w:u w:val="single"/>
        </w:rPr>
        <w:t xml:space="preserve">. Proctor &amp; Gamble (P&amp;G) filed </w:t>
      </w:r>
      <w:r>
        <w:rPr>
          <w:b w:val="0"/>
          <w:i w:val="0"/>
          <w:smallCaps w:val="0"/>
          <w:strike w:val="0"/>
          <w:sz w:val="20"/>
          <w:u w:val="single"/>
        </w:rPr>
        <w:t>suit</w:t>
      </w:r>
      <w:r>
        <w:rPr>
          <w:b w:val="0"/>
          <w:i w:val="0"/>
          <w:smallCaps w:val="0"/>
          <w:strike w:val="0"/>
          <w:sz w:val="20"/>
          <w:u w:val="single"/>
        </w:rPr>
        <w:t xml:space="preserve"> alleging infringement of patents relating to tooth whitening products and the alleged defendants then took the patent validity challenge from court to the PTAB. Specifically</w:t>
      </w:r>
      <w:r>
        <w:rPr>
          <w:b w:val="0"/>
          <w:i w:val="0"/>
          <w:smallCaps w:val="0"/>
          <w:strike w:val="0"/>
          <w:sz w:val="20"/>
          <w:u w:val="none"/>
        </w:rPr>
        <w:t xml:space="preserve">, P&amp;G sued Team Technologies alleging infringement of three patents pertaining to home tooth whitening products (U.S. Patent Nos. 5,891,453 (the '453 Patent); 5,894,017 (the '017 Patent); and 7,122,199 (the '199 Patent)). Defendants Clio USA, Inc. and </w:t>
      </w:r>
      <w:r>
        <w:rPr>
          <w:b w:val="0"/>
          <w:i w:val="0"/>
          <w:smallCaps w:val="0"/>
          <w:strike w:val="0"/>
          <w:sz w:val="20"/>
          <w:u w:val="none"/>
        </w:rPr>
        <w:t>Brushpoint</w:t>
      </w:r>
      <w:r>
        <w:rPr>
          <w:b w:val="0"/>
          <w:i w:val="0"/>
          <w:smallCaps w:val="0"/>
          <w:strike w:val="0"/>
          <w:sz w:val="20"/>
          <w:u w:val="none"/>
        </w:rPr>
        <w:t xml:space="preserve"> Innovations, Inc. were added </w:t>
      </w:r>
      <w:r>
        <w:rPr>
          <w:b w:val="0"/>
          <w:i w:val="0"/>
          <w:smallCaps w:val="0"/>
          <w:strike w:val="0"/>
          <w:sz w:val="20"/>
          <w:u w:val="none"/>
        </w:rPr>
        <w:t>at a later date</w:t>
      </w:r>
      <w:r>
        <w:rPr>
          <w:b w:val="0"/>
          <w:i w:val="0"/>
          <w:smallCaps w:val="0"/>
          <w:strike w:val="0"/>
          <w:sz w:val="20"/>
          <w:u w:val="none"/>
        </w:rPr>
        <w:t xml:space="preserve">. 2 Clio filed an IPR for each of the patents-in-suit. </w:t>
      </w:r>
      <w:r>
        <w:rPr>
          <w:b w:val="0"/>
          <w:i w:val="0"/>
          <w:smallCaps w:val="0"/>
          <w:strike w:val="0"/>
          <w:sz w:val="20"/>
          <w:u w:val="single"/>
        </w:rPr>
        <w:t xml:space="preserve">The </w:t>
      </w:r>
      <w:r>
        <w:rPr>
          <w:b w:val="0"/>
          <w:i w:val="0"/>
          <w:smallCaps w:val="0"/>
          <w:strike w:val="0"/>
          <w:sz w:val="20"/>
          <w:highlight w:val="cyan"/>
          <w:u w:val="single"/>
        </w:rPr>
        <w:t>PTAB denied institution</w:t>
      </w:r>
      <w:r>
        <w:rPr>
          <w:b w:val="0"/>
          <w:i w:val="0"/>
          <w:smallCaps w:val="0"/>
          <w:strike w:val="0"/>
          <w:sz w:val="20"/>
          <w:highlight w:val="cyan"/>
          <w:u w:val="single"/>
        </w:rPr>
        <w:t xml:space="preserve"> of the IPRs for many of the challenged </w:t>
      </w:r>
      <w:r>
        <w:rPr>
          <w:b w:val="0"/>
          <w:i w:val="0"/>
          <w:smallCaps w:val="0"/>
          <w:strike w:val="0"/>
          <w:sz w:val="20"/>
          <w:highlight w:val="cyan"/>
          <w:u w:val="single"/>
        </w:rPr>
        <w:t>claims</w:t>
      </w:r>
      <w:r>
        <w:rPr>
          <w:b w:val="0"/>
          <w:i w:val="0"/>
          <w:smallCaps w:val="0"/>
          <w:strike w:val="0"/>
          <w:sz w:val="20"/>
          <w:u w:val="single"/>
        </w:rPr>
        <w:t>, and</w:t>
      </w:r>
      <w:r>
        <w:rPr>
          <w:b w:val="0"/>
          <w:i w:val="0"/>
          <w:smallCaps w:val="0"/>
          <w:strike w:val="0"/>
          <w:sz w:val="20"/>
          <w:u w:val="single"/>
        </w:rPr>
        <w:t xml:space="preserve"> granted as to a small number of the claims.3 Meanwhile, the </w:t>
      </w:r>
      <w:r>
        <w:rPr>
          <w:b w:val="0"/>
          <w:i w:val="0"/>
          <w:smallCaps w:val="0"/>
          <w:strike w:val="0"/>
          <w:sz w:val="20"/>
          <w:highlight w:val="cyan"/>
          <w:u w:val="single"/>
        </w:rPr>
        <w:t>District Court refused to stay the proceeding</w:t>
      </w:r>
      <w:r>
        <w:rPr>
          <w:b w:val="0"/>
          <w:i w:val="0"/>
          <w:smallCaps w:val="0"/>
          <w:strike w:val="0"/>
          <w:sz w:val="20"/>
          <w:highlight w:val="cyan"/>
          <w:u w:val="single"/>
        </w:rPr>
        <w:t xml:space="preserve"> pending outcome of the IPRs</w:t>
      </w:r>
      <w:r>
        <w:rPr>
          <w:b w:val="0"/>
          <w:i w:val="0"/>
          <w:smallCaps w:val="0"/>
          <w:strike w:val="0"/>
          <w:sz w:val="20"/>
          <w:u w:val="single"/>
        </w:rPr>
        <w:t>.</w:t>
      </w:r>
    </w:p>
    <w:p>
      <w:pPr>
        <w:spacing w:after="60"/>
      </w:pPr>
      <w:r>
        <w:rPr>
          <w:b w:val="0"/>
          <w:i w:val="0"/>
          <w:smallCaps w:val="0"/>
          <w:strike w:val="0"/>
          <w:sz w:val="20"/>
          <w:u w:val="none"/>
        </w:rPr>
        <w:t>With the IPRs still ongoing, P&amp;G moved for summary judgment of validity alleging that the Defendants could not meet their burden of proof. Defendants, in turn, moved for summary judgment of patent invalidity. The Defendants' summary judgment motion relied in large part on the same arguments, the same references, and supporting expert testimony that the PTAB determined to be insufficient to meet the threshold of IPR institution.</w:t>
      </w:r>
    </w:p>
    <w:p>
      <w:pPr>
        <w:spacing w:after="60"/>
      </w:pPr>
      <w:r>
        <w:rPr>
          <w:b w:val="0"/>
          <w:i w:val="0"/>
          <w:smallCaps w:val="0"/>
          <w:strike w:val="0"/>
          <w:sz w:val="20"/>
          <w:u w:val="single"/>
        </w:rPr>
        <w:t xml:space="preserve">The </w:t>
      </w:r>
      <w:r>
        <w:rPr>
          <w:b w:val="0"/>
          <w:i w:val="0"/>
          <w:smallCaps w:val="0"/>
          <w:strike w:val="0"/>
          <w:sz w:val="20"/>
          <w:highlight w:val="cyan"/>
          <w:u w:val="single"/>
        </w:rPr>
        <w:t>Court granted summary judgment of validity</w:t>
      </w:r>
      <w:r>
        <w:rPr>
          <w:b w:val="0"/>
          <w:i w:val="0"/>
          <w:smallCaps w:val="0"/>
          <w:strike w:val="0"/>
          <w:sz w:val="20"/>
          <w:highlight w:val="cyan"/>
          <w:u w:val="single"/>
        </w:rPr>
        <w:t xml:space="preserve"> and denied Defendant's motion</w:t>
      </w:r>
      <w:r>
        <w:rPr>
          <w:b w:val="0"/>
          <w:i w:val="0"/>
          <w:smallCaps w:val="0"/>
          <w:strike w:val="0"/>
          <w:sz w:val="20"/>
          <w:u w:val="single"/>
        </w:rPr>
        <w:t xml:space="preserve"> of summary judgment of patent invalidity, in part relying on the PTAB's refusal to institute the IPRs.4 Specifically, in the IPRs, the PTAB rejected the same arguments but under the lower standard in front of the PTAB.5 The Court's reasoning focused on the Defendants' inability to meet the threshold requirements to institute the proceedings:</w:t>
      </w:r>
    </w:p>
    <w:p>
      <w:pPr>
        <w:spacing w:after="60"/>
      </w:pPr>
      <w:r>
        <w:rPr>
          <w:b w:val="0"/>
          <w:i w:val="0"/>
          <w:smallCaps w:val="0"/>
          <w:strike w:val="0"/>
          <w:sz w:val="20"/>
          <w:u w:val="none"/>
        </w:rPr>
        <w:t xml:space="preserve">In this litigation, Defendants bear the burden of establishing invalidity by clear and convincing evidence. </w:t>
      </w:r>
      <w:r>
        <w:rPr>
          <w:b w:val="0"/>
          <w:i w:val="0"/>
          <w:smallCaps w:val="0"/>
          <w:strike w:val="0"/>
          <w:sz w:val="20"/>
          <w:u w:val="none"/>
        </w:rPr>
        <w:t>In order to</w:t>
      </w:r>
      <w:r>
        <w:rPr>
          <w:b w:val="0"/>
          <w:i w:val="0"/>
          <w:smallCaps w:val="0"/>
          <w:strike w:val="0"/>
          <w:sz w:val="20"/>
          <w:u w:val="none"/>
        </w:rPr>
        <w:t xml:space="preserve"> show that the challenged claims are invalid in the IPR proceeding, however, Clio must only meet a preponderance of the evidence standard. Further, for the PTAB to institute proceedings in the first place, Clio needed only to show a reasonable likelihood that it would ultimately succeed under the lower "preponderance of the evidence" burden. Nevertheless, under this "reasonable likelihood" standard, which is significantly lower than the "clear and convincing" burden in this litigation, the PTAB found that Clio's and Dr. Gaffar's inherency arguments were insufficient. (Internal citations omitted.)6</w:t>
      </w:r>
    </w:p>
    <w:p>
      <w:pPr>
        <w:spacing w:after="60"/>
      </w:pPr>
      <w:r>
        <w:rPr>
          <w:b w:val="0"/>
          <w:i w:val="0"/>
          <w:smallCaps w:val="0"/>
          <w:strike w:val="0"/>
          <w:sz w:val="20"/>
          <w:u w:val="single"/>
        </w:rPr>
        <w:t xml:space="preserve">Moreover, the </w:t>
      </w:r>
      <w:r>
        <w:rPr>
          <w:b w:val="0"/>
          <w:i w:val="0"/>
          <w:smallCaps w:val="0"/>
          <w:strike w:val="0"/>
          <w:sz w:val="20"/>
          <w:highlight w:val="cyan"/>
          <w:u w:val="single"/>
        </w:rPr>
        <w:t xml:space="preserve">Court also </w:t>
      </w:r>
      <w:r>
        <w:rPr>
          <w:b w:val="0"/>
          <w:i w:val="0"/>
          <w:smallCaps w:val="0"/>
          <w:strike w:val="0"/>
          <w:sz w:val="20"/>
          <w:highlight w:val="cyan"/>
          <w:u w:val="single"/>
        </w:rPr>
        <w:t>relied on the PTAB's denial of Clio's request</w:t>
      </w:r>
      <w:r>
        <w:rPr>
          <w:b w:val="0"/>
          <w:i w:val="0"/>
          <w:smallCaps w:val="0"/>
          <w:strike w:val="0"/>
          <w:sz w:val="20"/>
          <w:highlight w:val="cyan"/>
          <w:u w:val="single"/>
        </w:rPr>
        <w:t xml:space="preserve"> for rehearing</w:t>
      </w:r>
      <w:r>
        <w:rPr>
          <w:b w:val="0"/>
          <w:i w:val="0"/>
          <w:smallCaps w:val="0"/>
          <w:strike w:val="0"/>
          <w:sz w:val="20"/>
          <w:u w:val="single"/>
        </w:rPr>
        <w:t xml:space="preserve"> of the PTAB's institution decisions, noting, "[t]he PTAB rejected Clio's inherency arguments, under a lower standard of proof, not once, but twice."7</w:t>
      </w:r>
    </w:p>
    <w:p>
      <w:pPr>
        <w:spacing w:after="60"/>
      </w:pPr>
      <w:r>
        <w:rPr>
          <w:b w:val="0"/>
          <w:i w:val="0"/>
          <w:smallCaps w:val="0"/>
          <w:strike w:val="0"/>
          <w:sz w:val="20"/>
          <w:u w:val="none"/>
        </w:rPr>
        <w:t xml:space="preserve">Thus, the decision in Team Technologies illustrates a large potential downside that should be considered before filing a petition for IPR. Should the PTAB decline to institute an IPR even as to some of the challenged claims, this denial may be relied upon in a concurrent District Court litigation to show that the burden of proving invalidity cannot be met. Potential IPR petitioners should be mindful of this potential negative inference being drawn by the District Court. </w:t>
      </w:r>
    </w:p>
    <w:p>
      <w:pPr>
        <w:spacing w:after="60"/>
      </w:pPr>
      <w:r>
        <w:rPr>
          <w:b w:val="0"/>
          <w:i w:val="0"/>
          <w:smallCaps w:val="0"/>
          <w:strike w:val="0"/>
          <w:sz w:val="20"/>
          <w:u w:val="single"/>
        </w:rPr>
        <w:t xml:space="preserve">Moreover, the Team Technologies case shows that District </w:t>
      </w:r>
      <w:r>
        <w:rPr>
          <w:b w:val="0"/>
          <w:i w:val="0"/>
          <w:smallCaps w:val="0"/>
          <w:strike w:val="0"/>
          <w:sz w:val="20"/>
          <w:highlight w:val="cyan"/>
          <w:u w:val="single"/>
        </w:rPr>
        <w:t xml:space="preserve">Courts may </w:t>
      </w:r>
      <w:r>
        <w:rPr>
          <w:b w:val="0"/>
          <w:i w:val="0"/>
          <w:smallCaps w:val="0"/>
          <w:strike w:val="0"/>
          <w:sz w:val="20"/>
          <w:highlight w:val="cyan"/>
          <w:u w:val="single"/>
        </w:rPr>
        <w:t>exercise their discretion to</w:t>
      </w:r>
      <w:r>
        <w:rPr>
          <w:b w:val="0"/>
          <w:i w:val="0"/>
          <w:smallCaps w:val="0"/>
          <w:strike w:val="0"/>
          <w:sz w:val="20"/>
          <w:highlight w:val="cyan"/>
          <w:u w:val="single"/>
        </w:rPr>
        <w:t xml:space="preserve"> rely on concurrent AIA trials as evidence</w:t>
      </w:r>
      <w:r>
        <w:rPr>
          <w:b w:val="0"/>
          <w:i w:val="0"/>
          <w:smallCaps w:val="0"/>
          <w:strike w:val="0"/>
          <w:sz w:val="20"/>
          <w:u w:val="single"/>
        </w:rPr>
        <w:t xml:space="preserve"> of a patent's validity and/or invalidity.8</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