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 legal understanding of ownership as communal </w:t>
      </w:r>
      <w:r>
        <w:rPr>
          <w:b/>
          <w:i w:val="0"/>
          <w:smallCaps w:val="0"/>
          <w:strike w:val="0"/>
          <w:sz w:val="24"/>
          <w:u w:val="single"/>
        </w:rPr>
        <w:t xml:space="preserve">transcends </w:t>
      </w:r>
      <w:r>
        <w:rPr>
          <w:b/>
          <w:i w:val="0"/>
          <w:smallCaps w:val="0"/>
          <w:strike w:val="0"/>
          <w:sz w:val="24"/>
          <w:u w:val="none"/>
        </w:rPr>
        <w:t xml:space="preserve">our current understanding of property which protects indigenous </w:t>
      </w:r>
      <w:r>
        <w:rPr>
          <w:b/>
          <w:i w:val="0"/>
          <w:smallCaps w:val="0"/>
          <w:strike w:val="0"/>
          <w:sz w:val="24"/>
          <w:u w:val="single"/>
        </w:rPr>
        <w:t>cultural survival.</w:t>
      </w:r>
    </w:p>
    <w:p>
      <w:pPr>
        <w:spacing w:after="80"/>
      </w:pPr>
      <w:r>
        <w:rPr>
          <w:b w:val="0"/>
          <w:i w:val="0"/>
          <w:smallCaps w:val="0"/>
          <w:strike w:val="0"/>
          <w:sz w:val="16"/>
          <w:u w:val="none"/>
        </w:rPr>
        <w:t>*cultural property</w:t>
      </w:r>
      <w:r>
        <w:rPr>
          <w:b w:val="0"/>
          <w:i w:val="0"/>
          <w:smallCaps w:val="0"/>
          <w:strike w:val="0"/>
          <w:sz w:val="16"/>
          <w:u w:val="none"/>
        </w:rPr>
        <w:t>=</w:t>
      </w:r>
      <w:r>
        <w:rPr>
          <w:b w:val="0"/>
          <w:i w:val="0"/>
          <w:smallCaps w:val="0"/>
          <w:strike w:val="0"/>
          <w:sz w:val="16"/>
          <w:u w:val="none"/>
        </w:rPr>
        <w:t>historical, archaeological, and ethnographical objects, works of art, and architecture that embody a culture</w:t>
      </w:r>
    </w:p>
    <w:p>
      <w:pPr>
        <w:spacing w:after="60"/>
      </w:pPr>
      <w:r>
        <w:rPr>
          <w:b/>
          <w:i w:val="0"/>
          <w:smallCaps w:val="0"/>
          <w:strike w:val="0"/>
          <w:sz w:val="16"/>
          <w:u w:val="none"/>
        </w:rPr>
        <w:t>Carpenter et al 0</w:t>
      </w:r>
      <w:r>
        <w:rPr>
          <w:b/>
          <w:i w:val="0"/>
          <w:smallCaps w:val="0"/>
          <w:strike w:val="0"/>
          <w:sz w:val="16"/>
          <w:u w:val="none"/>
        </w:rPr>
        <w:t>9</w:t>
      </w:r>
      <w:r>
        <w:rPr>
          <w:b/>
          <w:i w:val="0"/>
          <w:smallCaps w:val="0"/>
          <w:strike w:val="0"/>
          <w:sz w:val="16"/>
          <w:u w:val="none"/>
        </w:rPr>
        <w:t xml:space="preserve"> </w:t>
      </w:r>
      <w:r>
        <w:rPr>
          <w:b w:val="0"/>
          <w:i w:val="0"/>
          <w:smallCaps w:val="0"/>
          <w:strike w:val="0"/>
          <w:sz w:val="16"/>
          <w:u w:val="none"/>
        </w:rPr>
        <w:t xml:space="preserve">(Kirsten Carpenter, Associate professor at the UNIVERSITY OF DENVER STURM COLLEGE OF LAW HARVARD LAW SCHOOL, J.D, Sonia K. Katyal is Associate Professor of Law, Fordham School of Law. Angela R. Riley is Professor of Law, Southwestern Law School, In Defense of Property, </w:t>
      </w:r>
      <w:r>
        <w:rPr>
          <w:b w:val="0"/>
          <w:i/>
          <w:smallCaps w:val="0"/>
          <w:strike w:val="0"/>
          <w:sz w:val="16"/>
          <w:u w:val="none"/>
        </w:rPr>
        <w:t>Yale Law Journal,</w:t>
      </w:r>
      <w:r>
        <w:rPr>
          <w:b w:val="0"/>
          <w:i w:val="0"/>
          <w:smallCaps w:val="0"/>
          <w:strike w:val="0"/>
          <w:sz w:val="16"/>
          <w:u w:val="none"/>
        </w:rPr>
        <w:t xml:space="preserve">  April 2009—gm) </w:t>
      </w:r>
    </w:p>
    <w:p>
      <w:pPr>
        <w:spacing w:after="60"/>
      </w:pPr>
      <w:r>
        <w:rPr>
          <w:b w:val="0"/>
          <w:i w:val="0"/>
          <w:smallCaps w:val="0"/>
          <w:strike w:val="0"/>
          <w:sz w:val="16"/>
          <w:u w:val="none"/>
        </w:rPr>
        <w:t xml:space="preserve">There is a quiet—and somewhat ironic—revolution underway in property law today. </w:t>
      </w:r>
      <w:r>
        <w:rPr>
          <w:b w:val="0"/>
          <w:i w:val="0"/>
          <w:smallCaps w:val="0"/>
          <w:strike w:val="0"/>
          <w:sz w:val="16"/>
          <w:u w:val="single"/>
        </w:rPr>
        <w:t xml:space="preserve">Though </w:t>
      </w:r>
      <w:r>
        <w:rPr>
          <w:b/>
          <w:i w:val="0"/>
          <w:smallCaps w:val="0"/>
          <w:strike w:val="0"/>
          <w:sz w:val="16"/>
          <w:highlight w:val="cyan"/>
          <w:u w:val="single"/>
        </w:rPr>
        <w:t>property law</w:t>
      </w:r>
      <w:r>
        <w:rPr>
          <w:b w:val="0"/>
          <w:i w:val="0"/>
          <w:smallCaps w:val="0"/>
          <w:strike w:val="0"/>
          <w:sz w:val="16"/>
          <w:u w:val="single"/>
        </w:rPr>
        <w:t xml:space="preserve"> </w:t>
      </w:r>
      <w:r>
        <w:rPr>
          <w:b w:val="0"/>
          <w:i w:val="0"/>
          <w:smallCaps w:val="0"/>
          <w:strike w:val="0"/>
          <w:sz w:val="16"/>
          <w:highlight w:val="cyan"/>
          <w:u w:val="single"/>
        </w:rPr>
        <w:t>historically has been</w:t>
      </w:r>
      <w:r>
        <w:rPr>
          <w:b w:val="0"/>
          <w:i w:val="0"/>
          <w:smallCaps w:val="0"/>
          <w:strike w:val="0"/>
          <w:sz w:val="16"/>
          <w:u w:val="single"/>
        </w:rPr>
        <w:t xml:space="preserve"> </w:t>
      </w:r>
      <w:r>
        <w:rPr>
          <w:b w:val="0"/>
          <w:i w:val="0"/>
          <w:smallCaps w:val="0"/>
          <w:strike w:val="0"/>
          <w:sz w:val="16"/>
          <w:highlight w:val="cyan"/>
          <w:u w:val="single"/>
        </w:rPr>
        <w:t>used to legitimize the conquest of indigenous lands, indigenous groups</w:t>
      </w:r>
      <w:r>
        <w:rPr>
          <w:b w:val="0"/>
          <w:i w:val="0"/>
          <w:smallCaps w:val="0"/>
          <w:strike w:val="0"/>
          <w:sz w:val="16"/>
          <w:u w:val="single"/>
        </w:rPr>
        <w:t xml:space="preserve"> worldwide </w:t>
      </w:r>
      <w:r>
        <w:rPr>
          <w:b w:val="0"/>
          <w:i w:val="0"/>
          <w:smallCaps w:val="0"/>
          <w:strike w:val="0"/>
          <w:sz w:val="16"/>
          <w:highlight w:val="cyan"/>
          <w:u w:val="single"/>
        </w:rPr>
        <w:t>are now employing</w:t>
      </w:r>
      <w:r>
        <w:rPr>
          <w:b w:val="0"/>
          <w:i w:val="0"/>
          <w:smallCaps w:val="0"/>
          <w:strike w:val="0"/>
          <w:sz w:val="16"/>
          <w:u w:val="single"/>
        </w:rPr>
        <w:t xml:space="preserve"> this same body of </w:t>
      </w:r>
      <w:r>
        <w:rPr>
          <w:b w:val="0"/>
          <w:i w:val="0"/>
          <w:smallCaps w:val="0"/>
          <w:strike w:val="0"/>
          <w:sz w:val="16"/>
          <w:highlight w:val="cyan"/>
          <w:u w:val="single"/>
        </w:rPr>
        <w:t>law to lay claim to</w:t>
      </w:r>
      <w:r>
        <w:rPr>
          <w:b w:val="0"/>
          <w:i w:val="0"/>
          <w:smallCaps w:val="0"/>
          <w:strike w:val="0"/>
          <w:sz w:val="16"/>
          <w:u w:val="single"/>
        </w:rPr>
        <w:t xml:space="preserve"> their own </w:t>
      </w:r>
      <w:r>
        <w:rPr>
          <w:b/>
          <w:i w:val="0"/>
          <w:smallCaps w:val="0"/>
          <w:strike w:val="0"/>
          <w:sz w:val="16"/>
          <w:highlight w:val="cyan"/>
          <w:u w:val="single"/>
        </w:rPr>
        <w:t>cultural resources.</w:t>
      </w:r>
    </w:p>
    <w:p>
      <w:pPr>
        <w:spacing w:after="60"/>
      </w:pPr>
      <w:r>
        <w:rPr>
          <w:b w:val="0"/>
          <w:i w:val="0"/>
          <w:smallCaps w:val="0"/>
          <w:strike w:val="0"/>
          <w:sz w:val="16"/>
          <w:u w:val="none"/>
        </w:rPr>
        <w:t xml:space="preserve">In the United States, for example, Indian </w:t>
      </w:r>
      <w:r>
        <w:rPr>
          <w:b w:val="0"/>
          <w:i w:val="0"/>
          <w:smallCaps w:val="0"/>
          <w:strike w:val="0"/>
          <w:sz w:val="16"/>
          <w:highlight w:val="cyan"/>
          <w:u w:val="single"/>
        </w:rPr>
        <w:t>tribes</w:t>
      </w:r>
      <w:r>
        <w:rPr>
          <w:b w:val="0"/>
          <w:i w:val="0"/>
          <w:smallCaps w:val="0"/>
          <w:strike w:val="0"/>
          <w:sz w:val="16"/>
          <w:u w:val="single"/>
        </w:rPr>
        <w:t xml:space="preserve"> have </w:t>
      </w:r>
      <w:r>
        <w:rPr>
          <w:b w:val="0"/>
          <w:i w:val="0"/>
          <w:smallCaps w:val="0"/>
          <w:strike w:val="0"/>
          <w:sz w:val="16"/>
          <w:highlight w:val="cyan"/>
          <w:u w:val="single"/>
        </w:rPr>
        <w:t>sought trademark rights</w:t>
      </w:r>
      <w:r>
        <w:rPr>
          <w:b w:val="0"/>
          <w:i w:val="0"/>
          <w:smallCaps w:val="0"/>
          <w:strike w:val="0"/>
          <w:sz w:val="16"/>
          <w:u w:val="single"/>
        </w:rPr>
        <w:t xml:space="preserve"> in tribal symbols</w:t>
      </w:r>
      <w:r>
        <w:rPr>
          <w:b w:val="0"/>
          <w:i w:val="0"/>
          <w:smallCaps w:val="0"/>
          <w:strike w:val="0"/>
          <w:sz w:val="16"/>
          <w:u w:val="none"/>
        </w:rPr>
        <w:t xml:space="preserve">, 1 the return of Indian burial and ceremonial objects from museums, easements in sacred sites, and ongoing title to aboriginal lands. American Indian </w:t>
      </w:r>
      <w:r>
        <w:rPr>
          <w:b w:val="0"/>
          <w:i w:val="0"/>
          <w:smallCaps w:val="0"/>
          <w:strike w:val="0"/>
          <w:sz w:val="16"/>
          <w:highlight w:val="cyan"/>
          <w:u w:val="single"/>
        </w:rPr>
        <w:t>tribes i</w:t>
      </w:r>
      <w:r>
        <w:rPr>
          <w:b w:val="0"/>
          <w:i w:val="0"/>
          <w:smallCaps w:val="0"/>
          <w:strike w:val="0"/>
          <w:sz w:val="16"/>
          <w:u w:val="single"/>
        </w:rPr>
        <w:t xml:space="preserve">ncreasingly </w:t>
      </w:r>
      <w:r>
        <w:rPr>
          <w:b w:val="0"/>
          <w:i w:val="0"/>
          <w:smallCaps w:val="0"/>
          <w:strike w:val="0"/>
          <w:sz w:val="16"/>
          <w:highlight w:val="cyan"/>
          <w:u w:val="single"/>
        </w:rPr>
        <w:t>bring such claims</w:t>
      </w:r>
      <w:r>
        <w:rPr>
          <w:b w:val="0"/>
          <w:i w:val="0"/>
          <w:smallCaps w:val="0"/>
          <w:strike w:val="0"/>
          <w:sz w:val="16"/>
          <w:u w:val="single"/>
        </w:rPr>
        <w:t xml:space="preserve">, grounded in property law, </w:t>
      </w:r>
      <w:r>
        <w:rPr>
          <w:b w:val="0"/>
          <w:i w:val="0"/>
          <w:smallCaps w:val="0"/>
          <w:strike w:val="0"/>
          <w:sz w:val="16"/>
          <w:highlight w:val="cyan"/>
          <w:u w:val="single"/>
        </w:rPr>
        <w:t>to advance</w:t>
      </w:r>
      <w:r>
        <w:rPr>
          <w:b w:val="0"/>
          <w:i w:val="0"/>
          <w:smallCaps w:val="0"/>
          <w:strike w:val="0"/>
          <w:sz w:val="16"/>
          <w:u w:val="single"/>
        </w:rPr>
        <w:t xml:space="preserve"> tribal </w:t>
      </w:r>
      <w:r>
        <w:rPr>
          <w:b/>
          <w:i w:val="0"/>
          <w:smallCaps w:val="0"/>
          <w:strike w:val="0"/>
          <w:sz w:val="16"/>
          <w:u w:val="single"/>
        </w:rPr>
        <w:t xml:space="preserve">sovereignty, self-determination, and </w:t>
      </w:r>
      <w:r>
        <w:rPr>
          <w:b/>
          <w:i w:val="0"/>
          <w:smallCaps w:val="0"/>
          <w:strike w:val="0"/>
          <w:sz w:val="16"/>
          <w:highlight w:val="cyan"/>
          <w:u w:val="single"/>
        </w:rPr>
        <w:t>cultural survival</w:t>
      </w:r>
      <w:r>
        <w:rPr>
          <w:b w:val="0"/>
          <w:i w:val="0"/>
          <w:smallCaps w:val="0"/>
          <w:strike w:val="0"/>
          <w:sz w:val="16"/>
          <w:u w:val="single"/>
        </w:rPr>
        <w:t xml:space="preserve">. </w:t>
      </w:r>
      <w:r>
        <w:rPr>
          <w:b w:val="0"/>
          <w:i w:val="0"/>
          <w:smallCaps w:val="0"/>
          <w:strike w:val="0"/>
          <w:sz w:val="16"/>
          <w:u w:val="none"/>
        </w:rPr>
        <w:t>Internationally, indigenous groups in places as diverse as Belize and Australia have also turned to property law to challenge the expropriation of their lands, medicines, ceremonies, artwork, and natural resources.</w:t>
      </w:r>
    </w:p>
    <w:p>
      <w:pPr>
        <w:spacing w:after="60"/>
      </w:pPr>
      <w:r>
        <w:rPr>
          <w:b w:val="0"/>
          <w:i w:val="0"/>
          <w:smallCaps w:val="0"/>
          <w:strike w:val="0"/>
          <w:sz w:val="16"/>
          <w:u w:val="none"/>
        </w:rPr>
        <w:t xml:space="preserve">These examples are not isolated; rather, </w:t>
      </w:r>
      <w:r>
        <w:rPr>
          <w:b w:val="0"/>
          <w:i w:val="0"/>
          <w:smallCaps w:val="0"/>
          <w:strike w:val="0"/>
          <w:sz w:val="16"/>
          <w:highlight w:val="cyan"/>
          <w:u w:val="single"/>
        </w:rPr>
        <w:t xml:space="preserve">they reflect the emergence of </w:t>
      </w:r>
      <w:r>
        <w:rPr>
          <w:b/>
          <w:i w:val="0"/>
          <w:smallCaps w:val="0"/>
          <w:strike w:val="0"/>
          <w:sz w:val="16"/>
          <w:highlight w:val="cyan"/>
          <w:u w:val="single"/>
        </w:rPr>
        <w:t>a distinct area of law</w:t>
      </w:r>
      <w:r>
        <w:rPr>
          <w:b w:val="0"/>
          <w:i w:val="0"/>
          <w:smallCaps w:val="0"/>
          <w:strike w:val="0"/>
          <w:sz w:val="16"/>
          <w:u w:val="single"/>
        </w:rPr>
        <w:t xml:space="preserve"> that focuses on land, traditional knowledge, and other interests often associated with the cultural heritage of indigenous groups</w:t>
      </w:r>
      <w:r>
        <w:rPr>
          <w:b w:val="0"/>
          <w:i w:val="0"/>
          <w:smallCaps w:val="0"/>
          <w:strike w:val="0"/>
          <w:sz w:val="16"/>
          <w:u w:val="none"/>
        </w:rPr>
        <w:t xml:space="preserve">. This body of cultural property law is unique because </w:t>
      </w:r>
      <w:r>
        <w:rPr>
          <w:b w:val="0"/>
          <w:i w:val="0"/>
          <w:smallCaps w:val="0"/>
          <w:strike w:val="0"/>
          <w:sz w:val="20"/>
          <w:highlight w:val="cyan"/>
          <w:u w:val="single"/>
        </w:rPr>
        <w:t>it traverses</w:t>
      </w:r>
      <w:r>
        <w:rPr>
          <w:b w:val="0"/>
          <w:i w:val="0"/>
          <w:smallCaps w:val="0"/>
          <w:strike w:val="0"/>
          <w:sz w:val="20"/>
          <w:u w:val="single"/>
        </w:rPr>
        <w:t xml:space="preserve"> not only </w:t>
      </w:r>
      <w:r>
        <w:rPr>
          <w:b w:val="0"/>
          <w:i w:val="0"/>
          <w:smallCaps w:val="0"/>
          <w:strike w:val="0"/>
          <w:sz w:val="20"/>
          <w:highlight w:val="cyan"/>
          <w:u w:val="single"/>
        </w:rPr>
        <w:t>the boundaries between properties</w:t>
      </w:r>
      <w:r>
        <w:rPr>
          <w:b w:val="0"/>
          <w:i w:val="0"/>
          <w:smallCaps w:val="0"/>
          <w:strike w:val="0"/>
          <w:sz w:val="16"/>
          <w:u w:val="none"/>
        </w:rPr>
        <w:t>—</w:t>
      </w:r>
      <w:r>
        <w:rPr>
          <w:b w:val="0"/>
          <w:i w:val="0"/>
          <w:smallCaps w:val="0"/>
          <w:strike w:val="0"/>
          <w:sz w:val="16"/>
          <w:u w:val="single"/>
        </w:rPr>
        <w:t>real, personal, and intellectual</w:t>
      </w:r>
      <w:r>
        <w:rPr>
          <w:b w:val="0"/>
          <w:i w:val="0"/>
          <w:smallCaps w:val="0"/>
          <w:strike w:val="0"/>
          <w:sz w:val="16"/>
          <w:u w:val="none"/>
        </w:rPr>
        <w:t xml:space="preserve">—but also </w:t>
      </w:r>
      <w:r>
        <w:rPr>
          <w:b w:val="0"/>
          <w:i w:val="0"/>
          <w:smallCaps w:val="0"/>
          <w:strike w:val="0"/>
          <w:sz w:val="16"/>
          <w:u w:val="single"/>
        </w:rPr>
        <w:t xml:space="preserve">the boundaries between </w:t>
      </w:r>
      <w:r>
        <w:rPr>
          <w:b w:val="0"/>
          <w:i w:val="0"/>
          <w:smallCaps w:val="0"/>
          <w:strike w:val="0"/>
          <w:sz w:val="16"/>
          <w:highlight w:val="cyan"/>
          <w:u w:val="single"/>
        </w:rPr>
        <w:t>international, domestic, and tribal law</w:t>
      </w:r>
      <w:r>
        <w:rPr>
          <w:b w:val="0"/>
          <w:i w:val="0"/>
          <w:smallCaps w:val="0"/>
          <w:strike w:val="0"/>
          <w:sz w:val="16"/>
          <w:u w:val="single"/>
        </w:rPr>
        <w:t>.</w:t>
      </w:r>
      <w:r>
        <w:rPr>
          <w:b w:val="0"/>
          <w:i w:val="0"/>
          <w:smallCaps w:val="0"/>
          <w:strike w:val="0"/>
          <w:sz w:val="16"/>
          <w:u w:val="none"/>
        </w:rPr>
        <w:t xml:space="preserve"> Indeed, on September 13, 2007, after twenty-five years of negotiation, the United Nations adopted the Declaration on the Rights of Indigenous Peoples, which contains numerous provisions explicitly recognizing the collective property rights of indigenous peoples to both tangible and intangible resources. </w:t>
      </w:r>
    </w:p>
    <w:p>
      <w:pPr>
        <w:spacing w:after="60"/>
      </w:pPr>
      <w:r>
        <w:rPr>
          <w:b w:val="0"/>
          <w:i w:val="0"/>
          <w:smallCaps w:val="0"/>
          <w:strike w:val="0"/>
          <w:sz w:val="16"/>
          <w:u w:val="none"/>
        </w:rPr>
        <w:t>Yet just as the international community begins to reckon with protecting indigenous cultural heritage, many scholars, often from diverse disciplines, are intensely critical of the concept. In a recent New York Times column, Edward Rothstein complained that cultural property laws had engendered “a new form of protection, philistinism triumphing in the name of enlightened ideas.” 10 Legal scholars in particular—including those who typically align themselves with progressive causes—strongly criticize indigenous peoples’ efforts to assert ownership and autonomy over their tangible and intangible traditional resources, arguing that culture is and must remain part of an entitlement-free commons. In one recent article, for example, Naomi Mezey contends that “the idea of property has so colonized the idea of culture that there is not much culture left in cultural property.” 11 For Mezey, the notion of indigenous cultural property raises the likelihood that once indigenous peoples obtain title to cultural property, they will use it to exclude others—a practice that would inevitably limit the free flow of culture.</w:t>
      </w:r>
    </w:p>
    <w:p>
      <w:pPr>
        <w:spacing w:after="60"/>
      </w:pPr>
      <w:r>
        <w:rPr>
          <w:b w:val="0"/>
          <w:i w:val="0"/>
          <w:smallCaps w:val="0"/>
          <w:strike w:val="0"/>
          <w:sz w:val="16"/>
          <w:u w:val="none"/>
        </w:rPr>
        <w:t xml:space="preserve">In our view, these critiques arise, in part, because </w:t>
      </w:r>
      <w:r>
        <w:rPr>
          <w:b w:val="0"/>
          <w:i w:val="0"/>
          <w:smallCaps w:val="0"/>
          <w:strike w:val="0"/>
          <w:sz w:val="16"/>
          <w:u w:val="single"/>
        </w:rPr>
        <w:t xml:space="preserve">of </w:t>
      </w:r>
      <w:r>
        <w:rPr>
          <w:b w:val="0"/>
          <w:i w:val="0"/>
          <w:smallCaps w:val="0"/>
          <w:strike w:val="0"/>
          <w:sz w:val="16"/>
          <w:u w:val="single"/>
        </w:rPr>
        <w:t xml:space="preserve">the absence of a coherent rationale that undergirds the </w:t>
      </w:r>
      <w:r>
        <w:rPr>
          <w:b/>
          <w:i w:val="0"/>
          <w:smallCaps w:val="0"/>
          <w:strike w:val="0"/>
          <w:sz w:val="16"/>
          <w:u w:val="single"/>
        </w:rPr>
        <w:t xml:space="preserve">protection </w:t>
      </w:r>
      <w:r>
        <w:rPr>
          <w:b w:val="0"/>
          <w:i w:val="0"/>
          <w:smallCaps w:val="0"/>
          <w:strike w:val="0"/>
          <w:sz w:val="16"/>
          <w:u w:val="single"/>
        </w:rPr>
        <w:t xml:space="preserve">of indigenous cultural property. </w:t>
      </w:r>
      <w:r>
        <w:rPr>
          <w:b w:val="0"/>
          <w:i w:val="0"/>
          <w:smallCaps w:val="0"/>
          <w:strike w:val="0"/>
          <w:sz w:val="16"/>
          <w:highlight w:val="cyan"/>
          <w:u w:val="single"/>
        </w:rPr>
        <w:t>Without a viable framework, scholars</w:t>
      </w:r>
      <w:r>
        <w:rPr>
          <w:b w:val="0"/>
          <w:i w:val="0"/>
          <w:smallCaps w:val="0"/>
          <w:strike w:val="0"/>
          <w:sz w:val="16"/>
          <w:u w:val="single"/>
        </w:rPr>
        <w:t xml:space="preserve"> tend to </w:t>
      </w:r>
      <w:r>
        <w:rPr>
          <w:b w:val="0"/>
          <w:i w:val="0"/>
          <w:smallCaps w:val="0"/>
          <w:strike w:val="0"/>
          <w:sz w:val="16"/>
          <w:highlight w:val="cyan"/>
          <w:u w:val="single"/>
        </w:rPr>
        <w:t>link cultural property</w:t>
      </w:r>
      <w:r>
        <w:rPr>
          <w:b w:val="0"/>
          <w:i w:val="0"/>
          <w:smallCaps w:val="0"/>
          <w:strike w:val="0"/>
          <w:sz w:val="16"/>
          <w:u w:val="single"/>
        </w:rPr>
        <w:t xml:space="preserve"> protections </w:t>
      </w:r>
      <w:r>
        <w:rPr>
          <w:b w:val="0"/>
          <w:i w:val="0"/>
          <w:smallCaps w:val="0"/>
          <w:strike w:val="0"/>
          <w:sz w:val="16"/>
          <w:highlight w:val="cyan"/>
          <w:u w:val="single"/>
        </w:rPr>
        <w:t>to a narrow paradigm of property itself, associating property</w:t>
      </w:r>
      <w:r>
        <w:rPr>
          <w:b w:val="0"/>
          <w:i w:val="0"/>
          <w:smallCaps w:val="0"/>
          <w:strike w:val="0"/>
          <w:sz w:val="16"/>
          <w:u w:val="single"/>
        </w:rPr>
        <w:t xml:space="preserve"> with traditional rights of </w:t>
      </w:r>
      <w:r>
        <w:rPr>
          <w:b/>
          <w:i w:val="0"/>
          <w:smallCaps w:val="0"/>
          <w:strike w:val="0"/>
          <w:sz w:val="16"/>
          <w:highlight w:val="cyan"/>
          <w:u w:val="single"/>
        </w:rPr>
        <w:t>alienability, title, and exclusion</w:t>
      </w:r>
      <w:r>
        <w:rPr>
          <w:b/>
          <w:i w:val="0"/>
          <w:smallCaps w:val="0"/>
          <w:strike w:val="0"/>
          <w:sz w:val="16"/>
          <w:u w:val="single"/>
        </w:rPr>
        <w:t>,</w:t>
      </w:r>
      <w:r>
        <w:rPr>
          <w:b w:val="0"/>
          <w:i w:val="0"/>
          <w:smallCaps w:val="0"/>
          <w:strike w:val="0"/>
          <w:sz w:val="16"/>
          <w:u w:val="single"/>
        </w:rPr>
        <w:t xml:space="preserve"> and norms of </w:t>
      </w:r>
      <w:r>
        <w:rPr>
          <w:b/>
          <w:i w:val="0"/>
          <w:smallCaps w:val="0"/>
          <w:strike w:val="0"/>
          <w:sz w:val="16"/>
          <w:u w:val="single"/>
        </w:rPr>
        <w:t>commodification and commensurability</w:t>
      </w:r>
      <w:r>
        <w:rPr>
          <w:b w:val="0"/>
          <w:i w:val="0"/>
          <w:smallCaps w:val="0"/>
          <w:strike w:val="0"/>
          <w:sz w:val="16"/>
          <w:u w:val="none"/>
        </w:rPr>
        <w:t>. Underlying many of these critiques is a deep and pervasive assumption that in order to obtain protections for cultural goods outside of the market, the law must create exceptions for certain groups. 12 Such views are evident in contemporary legal opinions, including the Ninth Circuit’s recent en banc decision in Navajo Nation v. U.S. Forest Service. 13 In Navajo Nation, several tribes claimed that the Forest Service’s decision to allow the use of recycled water containing human waste for snowmaking on the San Francisco Peaks would violate the Religious Freedom Restoration Act by desecrating one of their most sacred sites and burdening numerous religious practices and belief systems. 14 The Ninth Circuit’s opinion, rejecting the tribes’ claims, evinces the familiar fear that if the law were to protect Indian religious and cultural interests, Indians effectively would acquire “ownership” of the public lands.15</w:t>
      </w:r>
    </w:p>
    <w:p>
      <w:pPr>
        <w:spacing w:after="60"/>
      </w:pPr>
      <w:r>
        <w:rPr>
          <w:b w:val="0"/>
          <w:i w:val="0"/>
          <w:smallCaps w:val="0"/>
          <w:strike w:val="0"/>
          <w:sz w:val="16"/>
          <w:u w:val="none"/>
        </w:rPr>
        <w:t xml:space="preserve">In reality, </w:t>
      </w:r>
      <w:r>
        <w:rPr>
          <w:b w:val="0"/>
          <w:i w:val="0"/>
          <w:smallCaps w:val="0"/>
          <w:strike w:val="0"/>
          <w:sz w:val="16"/>
          <w:u w:val="single"/>
        </w:rPr>
        <w:t xml:space="preserve">indigenous </w:t>
      </w:r>
      <w:r>
        <w:rPr>
          <w:b w:val="0"/>
          <w:i w:val="0"/>
          <w:smallCaps w:val="0"/>
          <w:strike w:val="0"/>
          <w:sz w:val="16"/>
          <w:highlight w:val="cyan"/>
          <w:u w:val="single"/>
        </w:rPr>
        <w:t xml:space="preserve">cultural property transcends </w:t>
      </w:r>
      <w:r>
        <w:rPr>
          <w:b/>
          <w:i w:val="0"/>
          <w:smallCaps w:val="0"/>
          <w:strike w:val="0"/>
          <w:sz w:val="16"/>
          <w:highlight w:val="cyan"/>
          <w:u w:val="single"/>
        </w:rPr>
        <w:t>the classic legal concepts of markets</w:t>
      </w:r>
      <w:r>
        <w:rPr>
          <w:b/>
          <w:i w:val="0"/>
          <w:smallCaps w:val="0"/>
          <w:strike w:val="0"/>
          <w:sz w:val="16"/>
          <w:u w:val="single"/>
        </w:rPr>
        <w:t>, title, and alienability that we often associate with ownership</w:t>
      </w:r>
      <w:r>
        <w:rPr>
          <w:b w:val="0"/>
          <w:i w:val="0"/>
          <w:smallCaps w:val="0"/>
          <w:strike w:val="0"/>
          <w:sz w:val="16"/>
          <w:u w:val="single"/>
        </w:rPr>
        <w:t>, making it all the more important for property scholars to evaluate its parameters.</w:t>
      </w:r>
      <w:r>
        <w:rPr>
          <w:b w:val="0"/>
          <w:i w:val="0"/>
          <w:smallCaps w:val="0"/>
          <w:strike w:val="0"/>
          <w:sz w:val="16"/>
          <w:u w:val="none"/>
        </w:rPr>
        <w:t xml:space="preserve"> By challenging these classic property constructs, </w:t>
      </w:r>
      <w:r>
        <w:rPr>
          <w:b w:val="0"/>
          <w:i w:val="0"/>
          <w:smallCaps w:val="0"/>
          <w:strike w:val="0"/>
          <w:sz w:val="16"/>
          <w:u w:val="single"/>
        </w:rPr>
        <w:t xml:space="preserve">indigenous cultural property claims </w:t>
      </w:r>
      <w:r>
        <w:rPr>
          <w:b w:val="0"/>
          <w:i w:val="0"/>
          <w:smallCaps w:val="0"/>
          <w:strike w:val="0"/>
          <w:sz w:val="16"/>
          <w:highlight w:val="cyan"/>
          <w:u w:val="single"/>
        </w:rPr>
        <w:t xml:space="preserve">force us to contemplate the </w:t>
      </w:r>
      <w:r>
        <w:rPr>
          <w:b/>
          <w:i w:val="0"/>
          <w:smallCaps w:val="0"/>
          <w:strike w:val="0"/>
          <w:sz w:val="16"/>
          <w:highlight w:val="cyan"/>
          <w:u w:val="single"/>
        </w:rPr>
        <w:t>intellectual divide</w:t>
      </w:r>
      <w:r>
        <w:rPr>
          <w:b w:val="0"/>
          <w:i w:val="0"/>
          <w:smallCaps w:val="0"/>
          <w:strike w:val="0"/>
          <w:sz w:val="16"/>
          <w:u w:val="single"/>
        </w:rPr>
        <w:t xml:space="preserve"> between two competing visions of property. The classic view of property law focuses on the predictability and certainty of protecting the individual owner’s rights of exclusion 16 and alienation primarily for wealth-maximization purposes.</w:t>
      </w:r>
      <w:r>
        <w:rPr>
          <w:b w:val="0"/>
          <w:i w:val="0"/>
          <w:smallCaps w:val="0"/>
          <w:strike w:val="0"/>
          <w:sz w:val="16"/>
          <w:u w:val="none"/>
        </w:rPr>
        <w:t xml:space="preserve"> 17 Yet a more relational vision of </w:t>
      </w:r>
      <w:r>
        <w:rPr>
          <w:b w:val="0"/>
          <w:i w:val="0"/>
          <w:smallCaps w:val="0"/>
          <w:strike w:val="0"/>
          <w:sz w:val="16"/>
          <w:u w:val="single"/>
        </w:rPr>
        <w:t xml:space="preserve">property law honors the legitimate interests of both owners and nonowners, in furtherance of various human and social values, potentially including nonmarket values. </w:t>
      </w:r>
      <w:r>
        <w:rPr>
          <w:b w:val="0"/>
          <w:i w:val="0"/>
          <w:smallCaps w:val="0"/>
          <w:strike w:val="0"/>
          <w:sz w:val="16"/>
          <w:u w:val="none"/>
        </w:rPr>
        <w:t xml:space="preserve">18 Accordingly, the classic view focuses on property’s stabilizing force, </w:t>
      </w:r>
      <w:r>
        <w:rPr>
          <w:b w:val="0"/>
          <w:i w:val="0"/>
          <w:smallCaps w:val="0"/>
          <w:strike w:val="0"/>
          <w:sz w:val="16"/>
          <w:u w:val="single"/>
        </w:rPr>
        <w:t xml:space="preserve">whereas the </w:t>
      </w:r>
      <w:r>
        <w:rPr>
          <w:b/>
          <w:i w:val="0"/>
          <w:smallCaps w:val="0"/>
          <w:strike w:val="0"/>
          <w:sz w:val="16"/>
          <w:u w:val="single"/>
        </w:rPr>
        <w:t xml:space="preserve">relational view </w:t>
      </w:r>
      <w:r>
        <w:rPr>
          <w:b w:val="0"/>
          <w:i w:val="0"/>
          <w:smallCaps w:val="0"/>
          <w:strike w:val="0"/>
          <w:sz w:val="16"/>
          <w:u w:val="single"/>
        </w:rPr>
        <w:t xml:space="preserve">emphasizes its fluidity and </w:t>
      </w:r>
      <w:r>
        <w:rPr>
          <w:b/>
          <w:i w:val="0"/>
          <w:smallCaps w:val="0"/>
          <w:strike w:val="0"/>
          <w:sz w:val="16"/>
          <w:u w:val="single"/>
        </w:rPr>
        <w:t>dynamic character</w:t>
      </w:r>
      <w:r>
        <w:rPr>
          <w:b w:val="0"/>
          <w:i w:val="0"/>
          <w:smallCaps w:val="0"/>
          <w:strike w:val="0"/>
          <w:sz w:val="16"/>
          <w:u w:val="single"/>
        </w:rPr>
        <w:t xml:space="preserve">. 19 Perhaps </w:t>
      </w:r>
      <w:r>
        <w:rPr>
          <w:b/>
          <w:i w:val="0"/>
          <w:smallCaps w:val="0"/>
          <w:strike w:val="0"/>
          <w:sz w:val="16"/>
          <w:highlight w:val="cyan"/>
          <w:u w:val="single"/>
        </w:rPr>
        <w:t xml:space="preserve">most </w:t>
      </w:r>
      <w:r>
        <w:rPr>
          <w:b/>
          <w:i w:val="0"/>
          <w:smallCaps w:val="0"/>
          <w:strike w:val="0"/>
          <w:sz w:val="20"/>
          <w:highlight w:val="cyan"/>
          <w:u w:val="single"/>
        </w:rPr>
        <w:t>problematic</w:t>
      </w:r>
      <w:r>
        <w:rPr>
          <w:b w:val="0"/>
          <w:i w:val="0"/>
          <w:smallCaps w:val="0"/>
          <w:strike w:val="0"/>
          <w:sz w:val="20"/>
          <w:u w:val="single"/>
        </w:rPr>
        <w:t xml:space="preserve"> </w:t>
      </w:r>
      <w:r>
        <w:rPr>
          <w:b w:val="0"/>
          <w:i w:val="0"/>
          <w:smallCaps w:val="0"/>
          <w:strike w:val="0"/>
          <w:sz w:val="20"/>
          <w:highlight w:val="cyan"/>
          <w:u w:val="single"/>
        </w:rPr>
        <w:t>for</w:t>
      </w:r>
      <w:r>
        <w:rPr>
          <w:b w:val="0"/>
          <w:i w:val="0"/>
          <w:smallCaps w:val="0"/>
          <w:strike w:val="0"/>
          <w:sz w:val="20"/>
          <w:u w:val="single"/>
        </w:rPr>
        <w:t xml:space="preserve"> indigenous cultural </w:t>
      </w:r>
      <w:r>
        <w:rPr>
          <w:b w:val="0"/>
          <w:i w:val="0"/>
          <w:smallCaps w:val="0"/>
          <w:strike w:val="0"/>
          <w:sz w:val="20"/>
          <w:highlight w:val="cyan"/>
          <w:u w:val="single"/>
        </w:rPr>
        <w:t>property claims, the classic view of property law, including its ownership model, is intimately tied to a paradigm of liberal individualism.</w:t>
      </w:r>
      <w:r>
        <w:rPr>
          <w:b w:val="0"/>
          <w:i w:val="0"/>
          <w:smallCaps w:val="0"/>
          <w:strike w:val="0"/>
          <w:sz w:val="20"/>
          <w:u w:val="single"/>
        </w:rPr>
        <w:t xml:space="preserve"> Current </w:t>
      </w:r>
      <w:r>
        <w:rPr>
          <w:b w:val="0"/>
          <w:i w:val="0"/>
          <w:smallCaps w:val="0"/>
          <w:strike w:val="0"/>
          <w:sz w:val="20"/>
          <w:highlight w:val="cyan"/>
          <w:u w:val="single"/>
        </w:rPr>
        <w:t>theories of property</w:t>
      </w:r>
      <w:r>
        <w:rPr>
          <w:b w:val="0"/>
          <w:i w:val="0"/>
          <w:smallCaps w:val="0"/>
          <w:strike w:val="0"/>
          <w:sz w:val="20"/>
          <w:u w:val="single"/>
        </w:rPr>
        <w:t xml:space="preserve"> acquisition grounded in this tradition, whether economic or noneconomic, </w:t>
      </w:r>
      <w:r>
        <w:rPr>
          <w:b w:val="0"/>
          <w:i w:val="0"/>
          <w:smallCaps w:val="0"/>
          <w:strike w:val="0"/>
          <w:sz w:val="20"/>
          <w:highlight w:val="cyan"/>
          <w:u w:val="single"/>
        </w:rPr>
        <w:t>fail to take into account the prospect of group oriented claims of custody</w:t>
      </w:r>
      <w:r>
        <w:rPr>
          <w:b w:val="0"/>
          <w:i w:val="0"/>
          <w:smallCaps w:val="0"/>
          <w:strike w:val="0"/>
          <w:sz w:val="20"/>
          <w:u w:val="single"/>
        </w:rPr>
        <w:t xml:space="preserve"> and control </w:t>
      </w:r>
      <w:r>
        <w:rPr>
          <w:b w:val="0"/>
          <w:i w:val="0"/>
          <w:smallCaps w:val="0"/>
          <w:strike w:val="0"/>
          <w:sz w:val="20"/>
          <w:highlight w:val="cyan"/>
          <w:u w:val="single"/>
        </w:rPr>
        <w:t>that are so critical to the protection of indigenous cultural property</w:t>
      </w:r>
      <w:r>
        <w:rPr>
          <w:b w:val="0"/>
          <w:i w:val="0"/>
          <w:smallCaps w:val="0"/>
          <w:strike w:val="0"/>
          <w:sz w:val="20"/>
          <w:u w:val="single"/>
        </w:rPr>
        <w:t>.</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