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Indigenous lands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is under the jurisdiction of the USFG.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Prygoski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(Philip J, professor of law, Thomas M Cooley Law School, 02.01.01, “From Marshall to Marshall: The Supreme Court's changing stance on tribal sovereignty”, </w:t>
      </w:r>
      <w:r>
        <w:rPr>
          <w:b w:val="0"/>
          <w:i w:val="0"/>
          <w:smallCaps w:val="0"/>
          <w:strike w:val="0"/>
          <w:sz w:val="16"/>
          <w:u w:val="none"/>
        </w:rPr>
        <w:t>, Accessed 07.22.14)//LD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**We do not endorse any of the decisions made by the Supreme Court referenced in this article.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In the first of these cases, Johnson v. McIntosh (21 U.S. (8 Wheat.) 543 (1823)),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Chief Justice Marshall ruled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for the Court </w:t>
      </w:r>
      <w:r>
        <w:rPr>
          <w:b w:val="0"/>
          <w:i w:val="0"/>
          <w:smallCaps w:val="0"/>
          <w:strike w:val="0"/>
          <w:sz w:val="20"/>
          <w:u w:val="single"/>
        </w:rPr>
        <w:t>that Indian tribes could not convey land to private parties without the consent of the federal government.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 Court reasoned that, after conquest by the Europeans and the establishment of the United States,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complete sovereignty were diminished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tribes'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power to dispose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land was denied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In Cherokee Nation v. Georgia (30 U.S. (5 Pet.) 1 (1831)), the Court addressed the question of whether the Cherokee Nation was a "foreign state" and, therefore, could sue the State of Georgia in federal court under diversity jurisdiction.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Chief Justice Marshall ruled that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federal courts had no jurisdiction over such a case because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Indian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 were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merely "domestic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dependent </w:t>
      </w:r>
      <w:r>
        <w:rPr>
          <w:b w:val="0"/>
          <w:i w:val="0"/>
          <w:smallCaps w:val="0"/>
          <w:strike w:val="0"/>
          <w:sz w:val="20"/>
          <w:u w:val="single"/>
        </w:rPr>
        <w:t>nations" existing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state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pupilage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Their relation to the United States resembles that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ward to his guardian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." The statements by the Court in Cherokee Nation established the premise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nations do not possess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all of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attributes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 word "nation" normally implies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Indian nations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are not "foreign," but rather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exist within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geographical boundaries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tates,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10"/>
          <w:u w:val="none"/>
        </w:rPr>
        <w:t>. It would be unacceptable for an Indian nation located within the United States to enter into treaties with other countries, or to cede Indian land to foreign countries (to have a French or German enclave in the middle of Montana, for example.)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