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“Domestic” laws are laws </w:t>
      </w:r>
      <w:r>
        <w:rPr>
          <w:b/>
          <w:i w:val="0"/>
          <w:smallCaps w:val="0"/>
          <w:strike w:val="0"/>
          <w:sz w:val="24"/>
          <w:u w:val="none"/>
        </w:rPr>
        <w:t>in</w:t>
      </w:r>
      <w:r>
        <w:rPr>
          <w:b/>
          <w:i w:val="0"/>
          <w:smallCaps w:val="0"/>
          <w:strike w:val="0"/>
          <w:sz w:val="24"/>
          <w:u w:val="none"/>
        </w:rPr>
        <w:t xml:space="preserve"> the U.S.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SEC </w:t>
      </w:r>
      <w:r>
        <w:rPr>
          <w:b/>
          <w:i w:val="0"/>
          <w:smallCaps w:val="0"/>
          <w:strike w:val="0"/>
          <w:sz w:val="24"/>
          <w:u w:val="none"/>
        </w:rPr>
        <w:t xml:space="preserve">’17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“Party Lien Debt Pledge and Security Agreement,” filed with the Securities and Exchange Commission, 28 March 2017, https://www.sec.gov/Archives/edgar/data/1540729/000110465917021037/a17-10103_1ex10d4.htm.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Domestic Laws</w:t>
      </w:r>
      <w:r>
        <w:rPr>
          <w:b w:val="0"/>
          <w:i w:val="0"/>
          <w:smallCaps w:val="0"/>
          <w:strike w:val="0"/>
          <w:sz w:val="20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shall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rules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</w:t>
      </w:r>
      <w:r>
        <w:rPr>
          <w:b/>
          <w:i w:val="0"/>
          <w:smallCaps w:val="0"/>
          <w:strike w:val="0"/>
          <w:sz w:val="20"/>
          <w:u w:val="single"/>
        </w:rPr>
        <w:t>regulations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any State thereof or the District of Columbia.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