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>A---</w:t>
      </w:r>
      <w:r>
        <w:rPr>
          <w:b/>
          <w:i w:val="0"/>
          <w:smallCaps w:val="0"/>
          <w:strike w:val="0"/>
          <w:sz w:val="24"/>
          <w:u w:val="single"/>
        </w:rPr>
        <w:t>INCLUSION</w:t>
      </w:r>
      <w:r>
        <w:rPr>
          <w:b/>
          <w:i w:val="0"/>
          <w:smallCaps w:val="0"/>
          <w:strike w:val="0"/>
          <w:sz w:val="24"/>
          <w:u w:val="none"/>
        </w:rPr>
        <w:t xml:space="preserve">. Sui generis can’t incorporate western and customary law. Only amending the copyright act allows for indigenous autonomy and full copyright benefits. Recognizing culturally significant items as </w:t>
      </w:r>
      <w:r>
        <w:rPr>
          <w:b/>
          <w:i w:val="0"/>
          <w:smallCaps w:val="0"/>
          <w:strike w:val="0"/>
          <w:sz w:val="24"/>
          <w:u w:val="single"/>
        </w:rPr>
        <w:t xml:space="preserve">copyrightable </w:t>
      </w:r>
      <w:r>
        <w:rPr>
          <w:b/>
          <w:i w:val="0"/>
          <w:smallCaps w:val="0"/>
          <w:strike w:val="0"/>
          <w:sz w:val="24"/>
          <w:u w:val="none"/>
        </w:rPr>
        <w:t xml:space="preserve">is the only way to deter appropriation. </w:t>
      </w:r>
      <w:r>
        <w:rPr>
          <w:b w:val="0"/>
          <w:i w:val="0"/>
          <w:smallCaps w:val="0"/>
          <w:strike w:val="0"/>
          <w:sz w:val="24"/>
          <w:u w:val="none"/>
        </w:rPr>
        <w:t xml:space="preserve">That’s 1AC </w:t>
      </w:r>
      <w:r>
        <w:rPr>
          <w:b w:val="0"/>
          <w:i w:val="0"/>
          <w:smallCaps w:val="0"/>
          <w:strike w:val="0"/>
          <w:sz w:val="24"/>
          <w:u w:val="none"/>
        </w:rPr>
        <w:t>S</w:t>
      </w:r>
      <w:r>
        <w:rPr>
          <w:b w:val="0"/>
          <w:i w:val="0"/>
          <w:smallCaps w:val="0"/>
          <w:strike w:val="0"/>
          <w:sz w:val="24"/>
          <w:u w:val="none"/>
        </w:rPr>
        <w:t xml:space="preserve">teffe. </w:t>
      </w:r>
    </w:p>
    <w:p>
      <w:pPr>
        <w:spacing w:after="80"/>
      </w:pPr>
      <w:r>
        <w:rPr>
          <w:b w:val="0"/>
          <w:i w:val="0"/>
          <w:smallCaps w:val="0"/>
          <w:strike w:val="0"/>
          <w:sz w:val="16"/>
          <w:u w:val="none"/>
        </w:rPr>
        <w:t xml:space="preserve">&lt;&lt;&lt;for reference&gt;&gt;&gt; 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highlight w:val="lightGray"/>
          <w:u w:val="single"/>
        </w:rPr>
        <w:t>While sui generis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protections </w:t>
      </w:r>
      <w:r>
        <w:rPr>
          <w:b w:val="0"/>
          <w:i w:val="0"/>
          <w:smallCaps w:val="0"/>
          <w:strike w:val="0"/>
          <w:sz w:val="20"/>
          <w:highlight w:val="lightGray"/>
          <w:u w:val="single"/>
        </w:rPr>
        <w:t>address specific legal shortcomings, they merely accommodate customary law</w:t>
      </w:r>
      <w:r>
        <w:rPr>
          <w:b w:val="0"/>
          <w:i w:val="0"/>
          <w:smallCaps w:val="0"/>
          <w:strike w:val="0"/>
          <w:sz w:val="16"/>
          <w:highlight w:val="lightGray"/>
          <w:u w:val="non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Modifying the Copyright Act to incorporate, rather than separately address,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these legal concepts fully recognize the value of TCEs as copyrightable material. </w:t>
      </w:r>
      <w:r>
        <w:rPr>
          <w:b w:val="0"/>
          <w:i w:val="0"/>
          <w:smallCaps w:val="0"/>
          <w:strike w:val="0"/>
          <w:sz w:val="20"/>
          <w:highlight w:val="lightGray"/>
          <w:u w:val="single"/>
        </w:rPr>
        <w:t xml:space="preserve">Fusing concepts such as cultural patrimony into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the fundamental tenants of </w:t>
      </w:r>
      <w:r>
        <w:rPr>
          <w:b w:val="0"/>
          <w:i w:val="0"/>
          <w:smallCaps w:val="0"/>
          <w:strike w:val="0"/>
          <w:sz w:val="20"/>
          <w:highlight w:val="lightGray"/>
          <w:u w:val="single"/>
        </w:rPr>
        <w:t xml:space="preserve">copyright law would allow for an expanded understanding of authorship, as TCEs often represent this same level of cultural significance such that the community the TCE represents effectively “authored” </w:t>
      </w:r>
      <w:r>
        <w:rPr>
          <w:b w:val="0"/>
          <w:i w:val="0"/>
          <w:smallCaps w:val="0"/>
          <w:strike w:val="0"/>
          <w:sz w:val="20"/>
          <w:u w:val="single"/>
        </w:rPr>
        <w:t>it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20"/>
          <w:highlight w:val="lightGray"/>
          <w:u w:val="single"/>
        </w:rPr>
        <w:t>This new category of authorship must operate in a limited scope, only extending to a work with such cultural significance that it exists indivisible from its holder</w:t>
      </w:r>
      <w:r>
        <w:rPr>
          <w:b w:val="0"/>
          <w:i w:val="0"/>
          <w:smallCaps w:val="0"/>
          <w:strike w:val="0"/>
          <w:sz w:val="20"/>
          <w:u w:val="single"/>
        </w:rPr>
        <w:t>. Following the 10th Circuit’s lead in Corrow and taking note from Australian jurisprudence, judge-made law can begin the process of recognizing communal authorship in the United States.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 w:val="0"/>
          <w:i w:val="0"/>
          <w:smallCaps w:val="0"/>
          <w:strike w:val="0"/>
          <w:sz w:val="20"/>
          <w:highlight w:val="lightGray"/>
          <w:u w:val="single"/>
        </w:rPr>
        <w:t>current inability to identify an author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because of the differences in customary notions of authorship </w:t>
      </w:r>
      <w:r>
        <w:rPr>
          <w:b w:val="0"/>
          <w:i w:val="0"/>
          <w:smallCaps w:val="0"/>
          <w:strike w:val="0"/>
          <w:sz w:val="20"/>
          <w:highlight w:val="lightGray"/>
          <w:u w:val="single"/>
        </w:rPr>
        <w:t>leaves incredibly sacred Indigenous designs and garments entirely unprotected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. By expanding the definition of authorship, </w:t>
      </w:r>
      <w:r>
        <w:rPr>
          <w:b w:val="0"/>
          <w:i w:val="0"/>
          <w:smallCaps w:val="0"/>
          <w:strike w:val="0"/>
          <w:sz w:val="20"/>
          <w:highlight w:val="lightGray"/>
          <w:u w:val="single"/>
        </w:rPr>
        <w:t>the Copyright Act can accommodate TCEs within the existing framework, and possessing a valid copyright allows for full enjoyment of the benefits granted by the Act</w:t>
      </w:r>
      <w:r>
        <w:rPr>
          <w:b w:val="0"/>
          <w:i w:val="0"/>
          <w:smallCaps w:val="0"/>
          <w:strike w:val="0"/>
          <w:sz w:val="20"/>
          <w:u w:val="single"/>
        </w:rPr>
        <w:t>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such as an economic monopoly and standing to bring suit for infringement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20"/>
          <w:highlight w:val="lightGray"/>
          <w:u w:val="single"/>
        </w:rPr>
        <w:t>Indigenous communities will also have the autonomy to make decisions about licensing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and exploiting their designs, options foreclosed to works existing in the public domain.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However, merely recognizing Indigenous designs as copyrightable only partially protects them from exploitation by mainstream fashion. To offer a wellrounded bundle of protections, the United States must explicitly recognize and enforce moral rights.</w:t>
      </w:r>
    </w:p>
    <w:p>
      <w:pPr>
        <w:pStyle w:val="Caption"/>
      </w:pPr>
      <w:r>
        <w:t>Source: Communal Copyright - Michigan 7 2024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