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w:t>
      </w:r>
      <w:r>
        <w:rPr>
          <w:b/>
          <w:i w:val="0"/>
          <w:smallCaps w:val="0"/>
          <w:strike w:val="0"/>
          <w:sz w:val="24"/>
          <w:u w:val="single"/>
        </w:rPr>
        <w:t>offensive</w:t>
      </w:r>
      <w:r>
        <w:rPr>
          <w:b/>
          <w:i w:val="0"/>
          <w:smallCaps w:val="0"/>
          <w:strike w:val="0"/>
          <w:sz w:val="24"/>
          <w:u w:val="none"/>
        </w:rPr>
        <w:t xml:space="preserve"> use of friendshoring causes war and prevents cooperation on climate &amp; disease. </w:t>
      </w:r>
    </w:p>
    <w:p>
      <w:pPr>
        <w:spacing w:after="80"/>
      </w:pPr>
      <w:r>
        <w:rPr>
          <w:b w:val="0"/>
          <w:i w:val="0"/>
          <w:smallCaps w:val="0"/>
          <w:strike w:val="0"/>
          <w:u w:val="none"/>
        </w:rPr>
        <w:t xml:space="preserve">Hung </w:t>
      </w:r>
      <w:r>
        <w:rPr>
          <w:b/>
          <w:i w:val="0"/>
          <w:smallCaps w:val="0"/>
          <w:strike w:val="0"/>
          <w:sz w:val="22"/>
          <w:u w:val="none"/>
        </w:rPr>
        <w:t>Tran 23</w:t>
      </w:r>
      <w:r>
        <w:rPr>
          <w:b w:val="0"/>
          <w:i w:val="0"/>
          <w:smallCaps w:val="0"/>
          <w:strike w:val="0"/>
          <w:u w:val="none"/>
        </w:rPr>
        <w:t>, nonresident senior fellow at the Atlantic Council; a former executive managing director at the Institute of International Finance and former deputy director at the International Monetary Fund, 2-21-2023, "Offensive friendshoring and deteriorating US-China relations", Atlantic Council, https://www.atlanticcouncil.org/content-series/future-of-tech-competition/offensive-friendshoring-and-deteriorating-us-china-relations/</w:t>
      </w:r>
    </w:p>
    <w:p>
      <w:pPr>
        <w:spacing w:after="60"/>
      </w:pPr>
      <w:r>
        <w:rPr>
          <w:b w:val="0"/>
          <w:i w:val="0"/>
          <w:smallCaps w:val="0"/>
          <w:strike w:val="0"/>
          <w:u w:val="none"/>
        </w:rPr>
        <w:t xml:space="preserve">In short, </w:t>
      </w:r>
      <w:r>
        <w:rPr>
          <w:b w:val="0"/>
          <w:i w:val="0"/>
          <w:smallCaps w:val="0"/>
          <w:strike w:val="0"/>
          <w:sz w:val="22"/>
          <w:u w:val="single"/>
        </w:rPr>
        <w:t xml:space="preserve">the increasingly offensive use of an offensive US friendshoring policy will make it more challenging to manage US-China strategic </w:t>
      </w:r>
      <w:r>
        <w:rPr>
          <w:b w:val="0"/>
          <w:i w:val="0"/>
          <w:smallCaps w:val="0"/>
          <w:strike w:val="0"/>
          <w:sz w:val="22"/>
          <w:u w:val="single"/>
        </w:rPr>
        <w:t xml:space="preserve">competition, </w:t>
      </w:r>
      <w:r>
        <w:rPr>
          <w:b/>
          <w:i w:val="0"/>
          <w:smallCaps w:val="0"/>
          <w:strike w:val="0"/>
          <w:sz w:val="22"/>
          <w:u w:val="single"/>
        </w:rPr>
        <w:t>and</w:t>
      </w:r>
      <w:r>
        <w:rPr>
          <w:b/>
          <w:i w:val="0"/>
          <w:smallCaps w:val="0"/>
          <w:strike w:val="0"/>
          <w:sz w:val="22"/>
          <w:u w:val="single"/>
        </w:rPr>
        <w:t xml:space="preserve"> make a military conflict—with disastrous global consequences—more </w:t>
      </w:r>
      <w:r>
        <w:rPr>
          <w:b/>
          <w:i w:val="0"/>
          <w:smallCaps w:val="0"/>
          <w:strike w:val="0"/>
          <w:sz w:val="22"/>
          <w:u w:val="single"/>
        </w:rPr>
        <w:t>not</w:t>
      </w:r>
      <w:r>
        <w:rPr>
          <w:b/>
          <w:i w:val="0"/>
          <w:smallCaps w:val="0"/>
          <w:strike w:val="0"/>
          <w:sz w:val="22"/>
          <w:u w:val="single"/>
        </w:rPr>
        <w:t xml:space="preserve"> less likely. </w:t>
      </w:r>
      <w:r>
        <w:rPr>
          <w:b w:val="0"/>
          <w:i w:val="0"/>
          <w:smallCaps w:val="0"/>
          <w:strike w:val="0"/>
          <w:sz w:val="22"/>
          <w:u w:val="single"/>
        </w:rPr>
        <w:t xml:space="preserve">Containing China’s high-tech development will make it more difficult to encourage China to cooperate with the United States in other areas, such as climate change and disease control, among other global issues. Despite Biden’s intention to “seek competition and not conflict” with China, the US-China relationship continues to deteriorate. </w:t>
      </w:r>
      <w:r>
        <w:rPr>
          <w:b/>
          <w:i w:val="0"/>
          <w:smallCaps w:val="0"/>
          <w:strike w:val="0"/>
          <w:sz w:val="22"/>
          <w:u w:val="single"/>
        </w:rPr>
        <w:t>The stakes are rising for all.</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