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IP trade wars spill over to other sectors.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Yu ’22</w:t>
      </w:r>
      <w:r>
        <w:rPr>
          <w:b w:val="0"/>
          <w:i w:val="0"/>
          <w:smallCaps w:val="0"/>
          <w:strike w:val="0"/>
          <w:u w:val="none"/>
        </w:rPr>
        <w:t xml:space="preserve"> [4-13-2022; Peter K.; Regents Professor of Law and Communication and Director, Center for Law and Intellectual Property at the Texas A&amp;M University School of Law</w:t>
      </w:r>
      <w:r>
        <w:rPr>
          <w:b w:val="0"/>
          <w:i w:val="0"/>
          <w:smallCaps w:val="0"/>
          <w:strike w:val="0"/>
          <w:u w:val="none"/>
        </w:rPr>
        <w:t xml:space="preserve">; “US-China Intellectual Property Trade Wars”; Texas </w:t>
      </w:r>
      <w:r>
        <w:rPr>
          <w:b w:val="0"/>
          <w:i w:val="0"/>
          <w:smallCaps w:val="0"/>
          <w:strike w:val="0"/>
          <w:u w:val="none"/>
        </w:rPr>
        <w:t>A&amp;M University School of Law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https://papers.ssrn.com/sol3/papers.cfm?abstract_id=3925290</w:t>
      </w:r>
      <w:r>
        <w:rPr>
          <w:b w:val="0"/>
          <w:i w:val="0"/>
          <w:smallCaps w:val="0"/>
          <w:strike w:val="0"/>
          <w:u w:val="none"/>
        </w:rPr>
        <w:t>; accessed 7-3-2024; Lowell-EL]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Sixth, </w:t>
      </w:r>
      <w:r>
        <w:rPr>
          <w:b w:val="0"/>
          <w:i w:val="0"/>
          <w:smallCaps w:val="0"/>
          <w:strike w:val="0"/>
          <w:highlight w:val="cyan"/>
          <w:u w:val="single"/>
        </w:rPr>
        <w:t>any trade war</w:t>
      </w:r>
      <w:r>
        <w:rPr>
          <w:b w:val="0"/>
          <w:i w:val="0"/>
          <w:smallCaps w:val="0"/>
          <w:strike w:val="0"/>
          <w:u w:val="single"/>
        </w:rPr>
        <w:t xml:space="preserve"> launched 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area will likely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lead to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collateral </w:t>
      </w:r>
      <w:r>
        <w:rPr>
          <w:b/>
          <w:i w:val="0"/>
          <w:smallCaps w:val="0"/>
          <w:strike w:val="0"/>
          <w:highlight w:val="cyan"/>
          <w:u w:val="single"/>
        </w:rPr>
        <w:t>damages</w:t>
      </w:r>
      <w:r>
        <w:rPr>
          <w:b/>
          <w:i w:val="0"/>
          <w:smallCaps w:val="0"/>
          <w:strike w:val="0"/>
          <w:u w:val="single"/>
        </w:rPr>
        <w:t xml:space="preserve"> and unintended consequences </w:t>
      </w:r>
      <w:r>
        <w:rPr>
          <w:b/>
          <w:i w:val="0"/>
          <w:smallCaps w:val="0"/>
          <w:strike w:val="0"/>
          <w:highlight w:val="cyan"/>
          <w:u w:val="single"/>
        </w:rPr>
        <w:t>in other trade</w:t>
      </w:r>
      <w:r>
        <w:rPr>
          <w:b w:val="0"/>
          <w:i w:val="0"/>
          <w:smallCaps w:val="0"/>
          <w:strike w:val="0"/>
          <w:u w:val="single"/>
        </w:rPr>
        <w:t xml:space="preserve"> or trade-related areas. Even worse, the resulting financial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losses </w:t>
      </w:r>
      <w:r>
        <w:rPr>
          <w:b/>
          <w:i w:val="0"/>
          <w:smallCaps w:val="0"/>
          <w:strike w:val="0"/>
          <w:highlight w:val="cyan"/>
          <w:u w:val="single"/>
        </w:rPr>
        <w:t>could</w:t>
      </w:r>
      <w:r>
        <w:rPr>
          <w:b/>
          <w:i w:val="0"/>
          <w:smallCaps w:val="0"/>
          <w:strike w:val="0"/>
          <w:u w:val="single"/>
        </w:rPr>
        <w:t xml:space="preserve"> far </w:t>
      </w:r>
      <w:r>
        <w:rPr>
          <w:b/>
          <w:i w:val="0"/>
          <w:smallCaps w:val="0"/>
          <w:strike w:val="0"/>
          <w:highlight w:val="cyan"/>
          <w:u w:val="single"/>
        </w:rPr>
        <w:t>exceed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gains made in</w:t>
      </w:r>
      <w:r>
        <w:rPr>
          <w:b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highlight w:val="cyan"/>
          <w:u w:val="single"/>
        </w:rPr>
        <w:t>i</w:t>
      </w:r>
      <w:r>
        <w:rPr>
          <w:b/>
          <w:i w:val="0"/>
          <w:smallCaps w:val="0"/>
          <w:strike w:val="0"/>
          <w:u w:val="single"/>
        </w:rPr>
        <w:t xml:space="preserve">ntellectual </w:t>
      </w:r>
      <w:r>
        <w:rPr>
          <w:b/>
          <w:i w:val="0"/>
          <w:smallCaps w:val="0"/>
          <w:strike w:val="0"/>
          <w:highlight w:val="cyan"/>
          <w:u w:val="single"/>
        </w:rPr>
        <w:t>p</w:t>
      </w:r>
      <w:r>
        <w:rPr>
          <w:b/>
          <w:i w:val="0"/>
          <w:smallCaps w:val="0"/>
          <w:strike w:val="0"/>
          <w:u w:val="single"/>
        </w:rPr>
        <w:t>roperty area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To illustrate the difficult trade-offs confronting the USTR, there is no better example than the strategic efforts that China took in the mid-1990s to pit US domestic interests against each other. </w:t>
      </w:r>
      <w:r>
        <w:rPr>
          <w:b w:val="0"/>
          <w:i w:val="0"/>
          <w:smallCaps w:val="0"/>
          <w:strike w:val="0"/>
          <w:highlight w:val="cyan"/>
          <w:u w:val="single"/>
        </w:rPr>
        <w:t>In response to</w:t>
      </w:r>
      <w:r>
        <w:rPr>
          <w:b w:val="0"/>
          <w:i w:val="0"/>
          <w:smallCaps w:val="0"/>
          <w:strike w:val="0"/>
          <w:u w:val="single"/>
        </w:rPr>
        <w:t xml:space="preserve"> the United States’ </w:t>
      </w:r>
      <w:r>
        <w:rPr>
          <w:b w:val="0"/>
          <w:i w:val="0"/>
          <w:smallCaps w:val="0"/>
          <w:strike w:val="0"/>
          <w:highlight w:val="cyan"/>
          <w:u w:val="single"/>
        </w:rPr>
        <w:t>trade threats in 1995, China suspended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negotiations with</w:t>
      </w:r>
      <w:r>
        <w:rPr>
          <w:b w:val="0"/>
          <w:i w:val="0"/>
          <w:smallCaps w:val="0"/>
          <w:strike w:val="0"/>
          <w:u w:val="single"/>
        </w:rPr>
        <w:t xml:space="preserve"> American </w:t>
      </w:r>
      <w:r>
        <w:rPr>
          <w:b w:val="0"/>
          <w:i w:val="0"/>
          <w:smallCaps w:val="0"/>
          <w:strike w:val="0"/>
          <w:highlight w:val="cyan"/>
          <w:u w:val="single"/>
        </w:rPr>
        <w:t>automakers</w:t>
      </w:r>
      <w:r>
        <w:rPr>
          <w:b w:val="0"/>
          <w:i w:val="0"/>
          <w:smallCaps w:val="0"/>
          <w:strike w:val="0"/>
          <w:u w:val="single"/>
        </w:rPr>
        <w:t xml:space="preserve"> over the creation of local joint ventures to manufacture mini-vans and passenger cars.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When the United States deployed similar coercive tactics </w:t>
      </w:r>
      <w:r>
        <w:rPr>
          <w:b w:val="0"/>
          <w:i w:val="0"/>
          <w:smallCaps w:val="0"/>
          <w:strike w:val="0"/>
          <w:u w:val="single"/>
        </w:rPr>
        <w:t>a year later, Premier Li Peng played the ‘Europe card’ and went to France to sign a $1.5 billion order for 30 short-haul Airbus planes.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By dividing the US business community, China successfully undermined the effectiveness of the USTR’s coercive tactics and the possibility for a trade war (Zeng, 2004, p. 52). As one of the editors of this volume declared, ‘the dispute over intellectual property protection exposed a fundamental dilemma in U.S. trade policy toward China: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U</w:t>
      </w:r>
      <w:r>
        <w:rPr>
          <w:b w:val="0"/>
          <w:i w:val="0"/>
          <w:smallCaps w:val="0"/>
          <w:strike w:val="0"/>
          <w:u w:val="single"/>
        </w:rPr>
        <w:t xml:space="preserve">nited </w:t>
      </w:r>
      <w:r>
        <w:rPr>
          <w:b w:val="0"/>
          <w:i w:val="0"/>
          <w:smallCaps w:val="0"/>
          <w:strike w:val="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tates </w:t>
      </w:r>
      <w:r>
        <w:rPr>
          <w:b w:val="0"/>
          <w:i w:val="0"/>
          <w:smallCaps w:val="0"/>
          <w:strike w:val="0"/>
          <w:highlight w:val="cyan"/>
          <w:u w:val="single"/>
        </w:rPr>
        <w:t>could not punish China</w:t>
      </w:r>
      <w:r>
        <w:rPr>
          <w:b w:val="0"/>
          <w:i w:val="0"/>
          <w:smallCaps w:val="0"/>
          <w:strike w:val="0"/>
          <w:u w:val="single"/>
        </w:rPr>
        <w:t xml:space="preserve"> for its misbehavior </w:t>
      </w:r>
      <w:r>
        <w:rPr>
          <w:b w:val="0"/>
          <w:i w:val="0"/>
          <w:smallCaps w:val="0"/>
          <w:strike w:val="0"/>
          <w:highlight w:val="cyan"/>
          <w:u w:val="single"/>
        </w:rPr>
        <w:t>without negatively affecting</w:t>
      </w:r>
      <w:r>
        <w:rPr>
          <w:b w:val="0"/>
          <w:i w:val="0"/>
          <w:smallCaps w:val="0"/>
          <w:strike w:val="0"/>
          <w:u w:val="single"/>
        </w:rPr>
        <w:t xml:space="preserve"> many powerful and active </w:t>
      </w:r>
      <w:r>
        <w:rPr>
          <w:b w:val="0"/>
          <w:i w:val="0"/>
          <w:smallCaps w:val="0"/>
          <w:strike w:val="0"/>
          <w:highlight w:val="cyan"/>
          <w:u w:val="single"/>
        </w:rPr>
        <w:t>domestic constituents’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(ibid., p. 170).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