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Decoupling </w:t>
      </w:r>
      <w:r>
        <w:rPr>
          <w:b/>
          <w:i w:val="0"/>
          <w:smallCaps w:val="0"/>
          <w:strike w:val="0"/>
          <w:sz w:val="24"/>
          <w:u w:val="single"/>
        </w:rPr>
        <w:t>destroys</w:t>
      </w:r>
      <w:r>
        <w:rPr>
          <w:b/>
          <w:i w:val="0"/>
          <w:smallCaps w:val="0"/>
          <w:strike w:val="0"/>
          <w:sz w:val="24"/>
          <w:u w:val="none"/>
        </w:rPr>
        <w:t xml:space="preserve"> US industries</w:t>
      </w:r>
    </w:p>
    <w:p>
      <w:pPr>
        <w:spacing w:after="80"/>
      </w:pPr>
      <w:r>
        <w:rPr>
          <w:b/>
          <w:i w:val="0"/>
          <w:smallCaps w:val="0"/>
          <w:strike w:val="0"/>
          <w:sz w:val="22"/>
          <w:u w:val="none"/>
        </w:rPr>
        <w:t>Gilbert et. al 20</w:t>
      </w:r>
      <w:r>
        <w:rPr>
          <w:b w:val="0"/>
          <w:i w:val="0"/>
          <w:smallCaps w:val="0"/>
          <w:strike w:val="0"/>
          <w:u w:val="none"/>
        </w:rPr>
        <w:t xml:space="preserve"> – </w:t>
      </w:r>
      <w:r>
        <w:rPr>
          <w:b w:val="0"/>
          <w:i w:val="0"/>
          <w:smallCaps w:val="0"/>
          <w:strike w:val="0"/>
          <w:u w:val="none"/>
        </w:rPr>
        <w:t xml:space="preserve">Michael McAdoo, Fang Ruan, Raj Varadarajan, Antonio Varas, and Gary Wang, Marc Gilbert is a core member of the Industrial Goods and Consumer practices at Boston Consulting Group and a leader in BCG’s Global Advantage and Operations practices. He leads the firm's work in geopolitics and trade impact within the Global Advantage practice. “What’s at Stake If the US and China Really Decouple”, </w:t>
      </w:r>
      <w:r>
        <w:rPr>
          <w:b w:val="0"/>
          <w:i w:val="0"/>
          <w:smallCaps w:val="0"/>
          <w:strike w:val="0"/>
          <w:u w:val="none"/>
        </w:rPr>
        <w:t>https://www.bcg.com/publications/2020/high-stakes-of-decoupling-us-and-china//HarrisC</w:t>
      </w:r>
      <w:r>
        <w:rPr>
          <w:b w:val="0"/>
          <w:i w:val="0"/>
          <w:smallCaps w:val="0"/>
          <w:strike w:val="0"/>
          <w:u w:val="none"/>
        </w:rPr>
        <w:t xml:space="preserve"> </w:t>
      </w:r>
    </w:p>
    <w:p>
      <w:pPr>
        <w:spacing w:after="60"/>
      </w:pPr>
      <w:r>
        <w:rPr>
          <w:b w:val="0"/>
          <w:i w:val="0"/>
          <w:smallCaps w:val="0"/>
          <w:strike w:val="0"/>
          <w:sz w:val="16"/>
          <w:u w:val="none"/>
        </w:rPr>
        <w:t xml:space="preserve">Caught in the middle are US and Chinese companies with around $550 billion in revenues at stake in each other’s markets. In many cases, these </w:t>
      </w:r>
      <w:r>
        <w:rPr>
          <w:b w:val="0"/>
          <w:i w:val="0"/>
          <w:smallCaps w:val="0"/>
          <w:strike w:val="0"/>
          <w:u w:val="single"/>
        </w:rPr>
        <w:t xml:space="preserve">enterprises are also intimately </w:t>
      </w:r>
      <w:r>
        <w:rPr>
          <w:b/>
          <w:i w:val="0"/>
          <w:smallCaps w:val="0"/>
          <w:strike w:val="0"/>
          <w:sz w:val="22"/>
          <w:u w:val="single"/>
        </w:rPr>
        <w:t>interconnected</w:t>
      </w:r>
      <w:r>
        <w:rPr>
          <w:b w:val="0"/>
          <w:i w:val="0"/>
          <w:smallCaps w:val="0"/>
          <w:strike w:val="0"/>
          <w:u w:val="single"/>
        </w:rPr>
        <w:t xml:space="preserve"> through industrial supply chains. </w:t>
      </w:r>
      <w:r>
        <w:rPr>
          <w:b/>
          <w:i w:val="0"/>
          <w:smallCaps w:val="0"/>
          <w:strike w:val="0"/>
          <w:sz w:val="22"/>
          <w:highlight w:val="cyan"/>
          <w:u w:val="single"/>
        </w:rPr>
        <w:t>Unwinding</w:t>
      </w:r>
      <w:r>
        <w:rPr>
          <w:b w:val="0"/>
          <w:i w:val="0"/>
          <w:smallCaps w:val="0"/>
          <w:strike w:val="0"/>
          <w:u w:val="single"/>
        </w:rPr>
        <w:t xml:space="preserve"> commercial </w:t>
      </w:r>
      <w:r>
        <w:rPr>
          <w:b/>
          <w:i w:val="0"/>
          <w:smallCaps w:val="0"/>
          <w:strike w:val="0"/>
          <w:sz w:val="22"/>
          <w:highlight w:val="cyan"/>
          <w:u w:val="single"/>
        </w:rPr>
        <w:t>ties</w:t>
      </w:r>
      <w:r>
        <w:rPr>
          <w:b w:val="0"/>
          <w:i w:val="0"/>
          <w:smallCaps w:val="0"/>
          <w:strike w:val="0"/>
          <w:sz w:val="16"/>
          <w:u w:val="none"/>
        </w:rPr>
        <w:t xml:space="preserve"> that took decades to build </w:t>
      </w:r>
      <w:r>
        <w:rPr>
          <w:b w:val="0"/>
          <w:i w:val="0"/>
          <w:smallCaps w:val="0"/>
          <w:strike w:val="0"/>
          <w:highlight w:val="cyan"/>
          <w:u w:val="single"/>
        </w:rPr>
        <w:t xml:space="preserve">would be </w:t>
      </w:r>
      <w:r>
        <w:rPr>
          <w:b/>
          <w:i w:val="0"/>
          <w:smallCaps w:val="0"/>
          <w:strike w:val="0"/>
          <w:sz w:val="22"/>
          <w:highlight w:val="cyan"/>
          <w:u w:val="single"/>
        </w:rPr>
        <w:t>costly</w:t>
      </w:r>
      <w:r>
        <w:rPr>
          <w:b w:val="0"/>
          <w:i w:val="0"/>
          <w:smallCaps w:val="0"/>
          <w:strike w:val="0"/>
          <w:u w:val="single"/>
        </w:rPr>
        <w:t xml:space="preserve"> and pose significant risk </w:t>
      </w:r>
      <w:r>
        <w:rPr>
          <w:b w:val="0"/>
          <w:i w:val="0"/>
          <w:smallCaps w:val="0"/>
          <w:strike w:val="0"/>
          <w:highlight w:val="cyan"/>
          <w:u w:val="single"/>
        </w:rPr>
        <w:t>to</w:t>
      </w:r>
      <w:r>
        <w:rPr>
          <w:b w:val="0"/>
          <w:i w:val="0"/>
          <w:smallCaps w:val="0"/>
          <w:strike w:val="0"/>
          <w:u w:val="single"/>
        </w:rPr>
        <w:t xml:space="preserve"> </w:t>
      </w:r>
      <w:r>
        <w:rPr>
          <w:b w:val="0"/>
          <w:i w:val="0"/>
          <w:smallCaps w:val="0"/>
          <w:strike w:val="0"/>
          <w:sz w:val="14"/>
          <w:u w:val="none"/>
        </w:rPr>
        <w:t>both</w:t>
      </w:r>
      <w:r>
        <w:rPr>
          <w:b w:val="0"/>
          <w:i w:val="0"/>
          <w:smallCaps w:val="0"/>
          <w:strike w:val="0"/>
          <w:sz w:val="14"/>
          <w:u w:val="single"/>
        </w:rPr>
        <w:t xml:space="preserve"> </w:t>
      </w:r>
      <w:r>
        <w:rPr>
          <w:b/>
          <w:i w:val="0"/>
          <w:smallCaps w:val="0"/>
          <w:strike w:val="0"/>
          <w:sz w:val="22"/>
          <w:highlight w:val="cyan"/>
          <w:u w:val="single"/>
        </w:rPr>
        <w:t>US</w:t>
      </w:r>
      <w:r>
        <w:rPr>
          <w:b w:val="0"/>
          <w:i w:val="0"/>
          <w:smallCaps w:val="0"/>
          <w:strike w:val="0"/>
          <w:u w:val="single"/>
        </w:rPr>
        <w:t xml:space="preserve"> and Chinese </w:t>
      </w:r>
      <w:r>
        <w:rPr>
          <w:b/>
          <w:i w:val="0"/>
          <w:smallCaps w:val="0"/>
          <w:strike w:val="0"/>
          <w:sz w:val="22"/>
          <w:highlight w:val="cyan"/>
          <w:u w:val="single"/>
        </w:rPr>
        <w:t>companies</w:t>
      </w:r>
      <w:r>
        <w:rPr>
          <w:b w:val="0"/>
          <w:i w:val="0"/>
          <w:smallCaps w:val="0"/>
          <w:strike w:val="0"/>
          <w:u w:val="single"/>
        </w:rPr>
        <w:t>.</w:t>
      </w:r>
      <w:r>
        <w:rPr>
          <w:b w:val="0"/>
          <w:i w:val="0"/>
          <w:smallCaps w:val="0"/>
          <w:strike w:val="0"/>
          <w:sz w:val="16"/>
          <w:u w:val="none"/>
        </w:rPr>
        <w:t xml:space="preserve"> But our analysis suggests that </w:t>
      </w:r>
      <w:r>
        <w:rPr>
          <w:b/>
          <w:i w:val="0"/>
          <w:smallCaps w:val="0"/>
          <w:strike w:val="0"/>
          <w:sz w:val="22"/>
          <w:u w:val="single"/>
        </w:rPr>
        <w:t>US companies</w:t>
      </w:r>
      <w:r>
        <w:rPr>
          <w:b w:val="0"/>
          <w:i w:val="0"/>
          <w:smallCaps w:val="0"/>
          <w:strike w:val="0"/>
          <w:sz w:val="16"/>
          <w:u w:val="none"/>
        </w:rPr>
        <w:t xml:space="preserve">, because of their strong push over the years to source and sell in China, collectively </w:t>
      </w:r>
      <w:r>
        <w:rPr>
          <w:b w:val="0"/>
          <w:i w:val="0"/>
          <w:smallCaps w:val="0"/>
          <w:strike w:val="0"/>
          <w:u w:val="single"/>
        </w:rPr>
        <w:t xml:space="preserve">have </w:t>
      </w:r>
      <w:r>
        <w:rPr>
          <w:b/>
          <w:i w:val="0"/>
          <w:smallCaps w:val="0"/>
          <w:strike w:val="0"/>
          <w:sz w:val="22"/>
          <w:u w:val="single"/>
        </w:rPr>
        <w:t>far more to lose</w:t>
      </w:r>
      <w:r>
        <w:rPr>
          <w:b w:val="0"/>
          <w:i w:val="0"/>
          <w:smallCaps w:val="0"/>
          <w:strike w:val="0"/>
          <w:u w:val="single"/>
        </w:rPr>
        <w:t xml:space="preserve"> in the near term</w:t>
      </w:r>
      <w:r>
        <w:rPr>
          <w:b w:val="0"/>
          <w:i w:val="0"/>
          <w:smallCaps w:val="0"/>
          <w:strike w:val="0"/>
          <w:sz w:val="16"/>
          <w:u w:val="none"/>
        </w:rPr>
        <w:t>—with respect to both revenue and access to critical components and materials.</w:t>
      </w:r>
    </w:p>
    <w:p>
      <w:pPr>
        <w:spacing w:after="60"/>
      </w:pPr>
      <w:r>
        <w:rPr>
          <w:b w:val="0"/>
          <w:i w:val="0"/>
          <w:smallCaps w:val="0"/>
          <w:strike w:val="0"/>
          <w:highlight w:val="cyan"/>
          <w:u w:val="single"/>
        </w:rPr>
        <w:t xml:space="preserve">US companies have around </w:t>
      </w:r>
      <w:r>
        <w:rPr>
          <w:b/>
          <w:i w:val="0"/>
          <w:smallCaps w:val="0"/>
          <w:strike w:val="0"/>
          <w:sz w:val="22"/>
          <w:highlight w:val="cyan"/>
          <w:u w:val="single"/>
        </w:rPr>
        <w:t xml:space="preserve">$400 billion </w:t>
      </w:r>
      <w:r>
        <w:rPr>
          <w:b w:val="0"/>
          <w:i w:val="0"/>
          <w:smallCaps w:val="0"/>
          <w:strike w:val="0"/>
          <w:highlight w:val="cyan"/>
          <w:u w:val="single"/>
        </w:rPr>
        <w:t xml:space="preserve">of revenue </w:t>
      </w:r>
      <w:r>
        <w:rPr>
          <w:b/>
          <w:i w:val="0"/>
          <w:smallCaps w:val="0"/>
          <w:strike w:val="0"/>
          <w:sz w:val="22"/>
          <w:highlight w:val="cyan"/>
          <w:u w:val="single"/>
        </w:rPr>
        <w:t>at risk</w:t>
      </w:r>
      <w:r>
        <w:rPr>
          <w:b w:val="0"/>
          <w:i w:val="0"/>
          <w:smallCaps w:val="0"/>
          <w:strike w:val="0"/>
          <w:highlight w:val="cyan"/>
          <w:u w:val="single"/>
        </w:rPr>
        <w:t xml:space="preserve"> in China</w:t>
      </w:r>
      <w:r>
        <w:rPr>
          <w:b w:val="0"/>
          <w:i w:val="0"/>
          <w:smallCaps w:val="0"/>
          <w:strike w:val="0"/>
          <w:u w:val="single"/>
        </w:rPr>
        <w:t>. (</w:t>
      </w:r>
      <w:r>
        <w:rPr>
          <w:b w:val="0"/>
          <w:i w:val="0"/>
          <w:smallCaps w:val="0"/>
          <w:strike w:val="0"/>
          <w:sz w:val="16"/>
          <w:u w:val="none"/>
        </w:rPr>
        <w:t>See Exhibit 1.) While that represents only 5% of their total revenues</w:t>
      </w:r>
      <w:r>
        <w:rPr>
          <w:b w:val="0"/>
          <w:i w:val="0"/>
          <w:smallCaps w:val="0"/>
          <w:strike w:val="0"/>
          <w:highlight w:val="cyan"/>
          <w:u w:val="single"/>
        </w:rPr>
        <w:t xml:space="preserve">, its </w:t>
      </w:r>
      <w:r>
        <w:rPr>
          <w:b/>
          <w:i w:val="0"/>
          <w:smallCaps w:val="0"/>
          <w:strike w:val="0"/>
          <w:sz w:val="22"/>
          <w:highlight w:val="cyan"/>
          <w:u w:val="single"/>
        </w:rPr>
        <w:t>loss</w:t>
      </w:r>
      <w:r>
        <w:rPr>
          <w:b w:val="0"/>
          <w:i w:val="0"/>
          <w:smallCaps w:val="0"/>
          <w:strike w:val="0"/>
          <w:highlight w:val="cyan"/>
          <w:u w:val="single"/>
        </w:rPr>
        <w:t xml:space="preserve"> would translate into</w:t>
      </w:r>
      <w:r>
        <w:rPr>
          <w:b w:val="0"/>
          <w:i w:val="0"/>
          <w:smallCaps w:val="0"/>
          <w:strike w:val="0"/>
          <w:u w:val="single"/>
        </w:rPr>
        <w:t xml:space="preserve"> around 15% of their market capitalization, or about </w:t>
      </w:r>
      <w:r>
        <w:rPr>
          <w:b/>
          <w:i w:val="0"/>
          <w:smallCaps w:val="0"/>
          <w:strike w:val="0"/>
          <w:sz w:val="22"/>
          <w:highlight w:val="cyan"/>
          <w:u w:val="single"/>
        </w:rPr>
        <w:t>$2.5 trillion</w:t>
      </w:r>
      <w:r>
        <w:rPr>
          <w:b w:val="0"/>
          <w:i w:val="0"/>
          <w:smallCaps w:val="0"/>
          <w:strike w:val="0"/>
          <w:u w:val="single"/>
        </w:rPr>
        <w:t xml:space="preserve"> in value</w:t>
      </w:r>
      <w:r>
        <w:rPr>
          <w:b w:val="0"/>
          <w:i w:val="0"/>
          <w:smallCaps w:val="0"/>
          <w:strike w:val="0"/>
          <w:sz w:val="16"/>
          <w:u w:val="none"/>
        </w:rPr>
        <w:t xml:space="preserve">.2 We found that seven major </w:t>
      </w:r>
      <w:r>
        <w:rPr>
          <w:b w:val="0"/>
          <w:i w:val="0"/>
          <w:smallCaps w:val="0"/>
          <w:strike w:val="0"/>
          <w:u w:val="single"/>
        </w:rPr>
        <w:t>US industrial sectors</w:t>
      </w:r>
      <w:r>
        <w:rPr>
          <w:b w:val="0"/>
          <w:i w:val="0"/>
          <w:smallCaps w:val="0"/>
          <w:strike w:val="0"/>
          <w:sz w:val="16"/>
          <w:u w:val="none"/>
        </w:rPr>
        <w:t>—consumer electronics, motor vehicles and parts, aerospace, medical supplies, medical equipment, machinery, and enterprise hardware—</w:t>
      </w:r>
      <w:r>
        <w:rPr>
          <w:b w:val="0"/>
          <w:i w:val="0"/>
          <w:smallCaps w:val="0"/>
          <w:strike w:val="0"/>
          <w:u w:val="single"/>
        </w:rPr>
        <w:t xml:space="preserve">derive </w:t>
      </w:r>
      <w:r>
        <w:rPr>
          <w:b/>
          <w:i w:val="0"/>
          <w:smallCaps w:val="0"/>
          <w:strike w:val="0"/>
          <w:sz w:val="22"/>
          <w:u w:val="single"/>
        </w:rPr>
        <w:t>7% to 16%</w:t>
      </w:r>
      <w:r>
        <w:rPr>
          <w:b w:val="0"/>
          <w:i w:val="0"/>
          <w:smallCaps w:val="0"/>
          <w:strike w:val="0"/>
          <w:u w:val="single"/>
        </w:rPr>
        <w:t xml:space="preserve"> of their global </w:t>
      </w:r>
      <w:r>
        <w:rPr>
          <w:b/>
          <w:i w:val="0"/>
          <w:smallCaps w:val="0"/>
          <w:strike w:val="0"/>
          <w:sz w:val="22"/>
          <w:u w:val="single"/>
        </w:rPr>
        <w:t>revenue</w:t>
      </w:r>
      <w:r>
        <w:rPr>
          <w:b w:val="0"/>
          <w:i w:val="0"/>
          <w:smallCaps w:val="0"/>
          <w:strike w:val="0"/>
          <w:u w:val="single"/>
        </w:rPr>
        <w:t xml:space="preserve"> from China.</w:t>
      </w:r>
      <w:r>
        <w:rPr>
          <w:b w:val="0"/>
          <w:i w:val="0"/>
          <w:smallCaps w:val="0"/>
          <w:strike w:val="0"/>
          <w:sz w:val="16"/>
          <w:u w:val="none"/>
        </w:rPr>
        <w:t xml:space="preserve">3 Overall, </w:t>
      </w:r>
      <w:r>
        <w:rPr>
          <w:b w:val="0"/>
          <w:i w:val="0"/>
          <w:smallCaps w:val="0"/>
          <w:strike w:val="0"/>
          <w:u w:val="single"/>
        </w:rPr>
        <w:t xml:space="preserve">Chinese firms have </w:t>
      </w:r>
      <w:r>
        <w:rPr>
          <w:b/>
          <w:i w:val="0"/>
          <w:smallCaps w:val="0"/>
          <w:strike w:val="0"/>
          <w:sz w:val="22"/>
          <w:u w:val="single"/>
        </w:rPr>
        <w:t>three to five times</w:t>
      </w:r>
      <w:r>
        <w:rPr>
          <w:b w:val="0"/>
          <w:i w:val="0"/>
          <w:smallCaps w:val="0"/>
          <w:strike w:val="0"/>
          <w:u w:val="single"/>
        </w:rPr>
        <w:t xml:space="preserve"> less revenue exposure to the US marke</w:t>
      </w:r>
      <w:r>
        <w:rPr>
          <w:b w:val="0"/>
          <w:i w:val="0"/>
          <w:smallCaps w:val="0"/>
          <w:strike w:val="0"/>
          <w:sz w:val="16"/>
          <w:u w:val="none"/>
        </w:rPr>
        <w:t>t; only the consumer electronics, enterprise electronics, and machinery sectors rely on the US for at least 7% of revenue.</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