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Increased</w:t>
      </w:r>
      <w:r>
        <w:rPr>
          <w:b/>
          <w:i w:val="0"/>
          <w:smallCaps w:val="0"/>
          <w:strike w:val="0"/>
          <w:sz w:val="24"/>
          <w:u w:val="none"/>
        </w:rPr>
        <w:t xml:space="preserve"> Chinese IP </w:t>
      </w:r>
      <w:r>
        <w:rPr>
          <w:b/>
          <w:i w:val="0"/>
          <w:smallCaps w:val="0"/>
          <w:strike w:val="0"/>
          <w:sz w:val="24"/>
          <w:u w:val="single"/>
        </w:rPr>
        <w:t>thumps</w:t>
      </w:r>
      <w:r>
        <w:rPr>
          <w:b/>
          <w:i w:val="0"/>
          <w:smallCaps w:val="0"/>
          <w:strike w:val="0"/>
          <w:sz w:val="24"/>
          <w:u w:val="none"/>
        </w:rPr>
        <w:t xml:space="preserve"> the link.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Col. </w:t>
      </w:r>
      <w:r>
        <w:rPr>
          <w:b w:val="0"/>
          <w:i w:val="0"/>
          <w:smallCaps w:val="0"/>
          <w:strike w:val="0"/>
          <w:u w:val="none"/>
        </w:rPr>
        <w:t xml:space="preserve">Gerald J. </w:t>
      </w:r>
      <w:r>
        <w:rPr>
          <w:b/>
          <w:i w:val="0"/>
          <w:smallCaps w:val="0"/>
          <w:strike w:val="0"/>
          <w:sz w:val="22"/>
          <w:u w:val="none"/>
        </w:rPr>
        <w:t>Krieger 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liaison officer @ U.S Army Forces HQ, </w:t>
      </w:r>
      <w:r>
        <w:rPr>
          <w:b w:val="0"/>
          <w:i w:val="0"/>
          <w:smallCaps w:val="0"/>
          <w:strike w:val="0"/>
          <w:u w:val="none"/>
        </w:rPr>
        <w:t>Professor</w:t>
      </w:r>
      <w:r>
        <w:rPr>
          <w:b w:val="0"/>
          <w:i w:val="0"/>
          <w:smallCaps w:val="0"/>
          <w:strike w:val="0"/>
          <w:u w:val="none"/>
        </w:rPr>
        <w:t xml:space="preserve"> in strategic studies @ at the Near East South Asia Center for Strategic Studies, Ph.D.</w:t>
      </w:r>
      <w:r>
        <w:rPr>
          <w:b w:val="0"/>
          <w:i w:val="0"/>
          <w:smallCaps w:val="0"/>
          <w:strike w:val="0"/>
          <w:u w:val="none"/>
        </w:rPr>
        <w:t xml:space="preserve"> in </w:t>
      </w:r>
      <w:r>
        <w:rPr>
          <w:b w:val="0"/>
          <w:i w:val="0"/>
          <w:smallCaps w:val="0"/>
          <w:strike w:val="0"/>
          <w:u w:val="none"/>
        </w:rPr>
        <w:t>international relations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@</w:t>
      </w:r>
      <w:r>
        <w:rPr>
          <w:b w:val="0"/>
          <w:i w:val="0"/>
          <w:smallCaps w:val="0"/>
          <w:strike w:val="0"/>
          <w:u w:val="none"/>
        </w:rPr>
        <w:t xml:space="preserve"> Salve Regina University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"From “Made in China” to “Created in China”: Intellectual Property Rights in the People’s Republic of China", National Defense University Press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 w:val="0"/>
          <w:i w:val="0"/>
          <w:smallCaps w:val="0"/>
          <w:strike w:val="0"/>
          <w:u w:val="none"/>
        </w:rPr>
        <w:t xml:space="preserve">Joint Force Quarterly 112, </w:t>
      </w:r>
      <w:r>
        <w:rPr>
          <w:b w:val="0"/>
          <w:i w:val="0"/>
          <w:smallCaps w:val="0"/>
          <w:strike w:val="0"/>
          <w:u w:val="none"/>
        </w:rPr>
        <w:t>2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16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>, https://ndupress.ndu.edu/Media/News/News-Article-View/Article/3679322/from-made-in-china-to-created-in-china-intellectual-property-rights-in-the-peop/. Accessed 7-8-2024 by NT-JJ.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However, another aspect of China’s growth is missed.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CCP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committed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none"/>
        </w:rPr>
        <w:t xml:space="preserve"> leading and innovating in several high-tech sectors, which will continue to drive </w:t>
      </w:r>
      <w:r>
        <w:rPr>
          <w:b w:val="0"/>
          <w:i w:val="0"/>
          <w:smallCaps w:val="0"/>
          <w:strike w:val="0"/>
          <w:sz w:val="22"/>
          <w:u w:val="single"/>
        </w:rPr>
        <w:t>increased intellectual property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u w:val="none"/>
        </w:rPr>
        <w:t xml:space="preserve"> for Chinese and foreign companies.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data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shift toward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greater protection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u w:val="none"/>
        </w:rPr>
        <w:t xml:space="preserve"> and patents within the country. Chinese companies are becoming more protective of their IP, and there were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 times as many IP-related lawsuits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filed in 2020 as in 2016</w:t>
      </w:r>
      <w:r>
        <w:rPr>
          <w:b w:val="0"/>
          <w:i w:val="0"/>
          <w:smallCaps w:val="0"/>
          <w:strike w:val="0"/>
          <w:u w:val="none"/>
        </w:rPr>
        <w:t>.5 Hence, it is worth exploring the transformation of intellectual property rights (IPR) in China, particularly given the increased competition and restrictions on American high-tech products. This is driving China to find international and internal replacements to mitigate risks to Chinese interests.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