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u w:val="single"/>
        </w:rPr>
        <w:t>Reject</w:t>
      </w:r>
      <w:r>
        <w:rPr>
          <w:b/>
          <w:i w:val="0"/>
          <w:smallCaps w:val="0"/>
          <w:strike w:val="0"/>
          <w:u w:val="none"/>
        </w:rPr>
        <w:t xml:space="preserve"> links about </w:t>
      </w:r>
      <w:r>
        <w:rPr>
          <w:b/>
          <w:i w:val="0"/>
          <w:smallCaps w:val="0"/>
          <w:strike w:val="0"/>
          <w:u w:val="single"/>
        </w:rPr>
        <w:t>non-intellectual</w:t>
      </w:r>
      <w:r>
        <w:rPr>
          <w:b/>
          <w:i w:val="0"/>
          <w:smallCaps w:val="0"/>
          <w:strike w:val="0"/>
          <w:u w:val="none"/>
        </w:rPr>
        <w:t xml:space="preserve"> property regimes—they’re </w:t>
      </w:r>
      <w:r>
        <w:rPr>
          <w:b/>
          <w:i w:val="0"/>
          <w:smallCaps w:val="0"/>
          <w:strike w:val="0"/>
          <w:u w:val="single"/>
        </w:rPr>
        <w:t>fundamentally non-analogous</w:t>
      </w:r>
      <w:r>
        <w:rPr>
          <w:b/>
          <w:i w:val="0"/>
          <w:smallCaps w:val="0"/>
          <w:strike w:val="0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2"/>
          <w:u w:val="none"/>
        </w:rPr>
        <w:t>Menell, 16</w:t>
      </w:r>
      <w:r>
        <w:rPr>
          <w:b w:val="0"/>
          <w:i w:val="0"/>
          <w:smallCaps w:val="0"/>
          <w:strike w:val="0"/>
          <w:u w:val="none"/>
        </w:rPr>
        <w:t>—Koret Professor of Law and Director, Berkeley Center for Law &amp; Technology, University of California at Berkeley School of Law (Peter, “Property, Intellectual Property, and Social Justice: Mapping the Next Frontier,” Brigham-Kanner Property Rights Conference Journal 5 (2016): 147-196, dml)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As a result of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these </w:t>
      </w:r>
      <w:r>
        <w:rPr>
          <w:b/>
          <w:i w:val="0"/>
          <w:smallCaps w:val="0"/>
          <w:strike w:val="0"/>
          <w:sz w:val="22"/>
          <w:u w:val="single"/>
        </w:rPr>
        <w:t>fundamental differences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between tangible and intangible resources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we must be </w:t>
      </w:r>
      <w:r>
        <w:rPr>
          <w:b/>
          <w:i w:val="0"/>
          <w:smallCaps w:val="0"/>
          <w:strike w:val="0"/>
          <w:sz w:val="22"/>
          <w:u w:val="single"/>
        </w:rPr>
        <w:t>especially cautious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extrapolating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positive and </w:t>
      </w:r>
      <w:r>
        <w:rPr>
          <w:b w:val="0"/>
          <w:i w:val="0"/>
          <w:smallCaps w:val="0"/>
          <w:strike w:val="0"/>
          <w:sz w:val="22"/>
          <w:u w:val="single"/>
        </w:rPr>
        <w:t>normative precepts and ramifications from the realm of tangible resources to the analysis of intangible resources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Simple </w:t>
      </w:r>
      <w:r>
        <w:rPr>
          <w:b w:val="0"/>
          <w:i w:val="0"/>
          <w:smallCaps w:val="0"/>
          <w:strike w:val="0"/>
          <w:sz w:val="22"/>
          <w:u w:val="single"/>
        </w:rPr>
        <w:t>rules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such as full ownership and automatic injunctions, </w:t>
      </w:r>
      <w:r>
        <w:rPr>
          <w:b/>
          <w:i w:val="0"/>
          <w:smallCaps w:val="0"/>
          <w:strike w:val="0"/>
          <w:sz w:val="22"/>
          <w:u w:val="single"/>
        </w:rPr>
        <w:t>do not presumptively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"</w:t>
      </w:r>
      <w:r>
        <w:rPr>
          <w:b/>
          <w:i w:val="0"/>
          <w:smallCaps w:val="0"/>
          <w:strike w:val="0"/>
          <w:sz w:val="22"/>
          <w:u w:val="single"/>
        </w:rPr>
        <w:t>carry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over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" </w:t>
      </w:r>
      <w:r>
        <w:rPr>
          <w:b w:val="0"/>
          <w:i w:val="0"/>
          <w:smallCaps w:val="0"/>
          <w:strike w:val="0"/>
          <w:sz w:val="22"/>
          <w:u w:val="single"/>
        </w:rPr>
        <w:t>to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intangible resources. Policy analysis must address the protection of intangible resources based upon the underlying economic, social, and human effects. More complex tangible property rules--such as nuisance, servitudes, and trespass to chattels--provide some useful models for </w:t>
      </w:r>
      <w:r>
        <w:rPr>
          <w:b/>
          <w:i w:val="0"/>
          <w:smallCaps w:val="0"/>
          <w:strike w:val="0"/>
          <w:sz w:val="22"/>
          <w:u w:val="single"/>
        </w:rPr>
        <w:t>i</w:t>
      </w:r>
      <w:r>
        <w:rPr>
          <w:b w:val="0"/>
          <w:i w:val="0"/>
          <w:smallCaps w:val="0"/>
          <w:strike w:val="0"/>
          <w:sz w:val="14"/>
          <w:u w:val="none"/>
        </w:rPr>
        <w:t xml:space="preserve">ntellectual </w:t>
      </w:r>
      <w:r>
        <w:rPr>
          <w:b/>
          <w:i w:val="0"/>
          <w:smallCaps w:val="0"/>
          <w:strike w:val="0"/>
          <w:sz w:val="22"/>
          <w:u w:val="single"/>
        </w:rPr>
        <w:t>p</w:t>
      </w:r>
      <w:r>
        <w:rPr>
          <w:b w:val="0"/>
          <w:i w:val="0"/>
          <w:smallCaps w:val="0"/>
          <w:strike w:val="0"/>
          <w:sz w:val="14"/>
          <w:u w:val="none"/>
        </w:rPr>
        <w:t xml:space="preserve">roperty </w:t>
      </w:r>
      <w:r>
        <w:rPr>
          <w:b w:val="0"/>
          <w:i w:val="0"/>
          <w:smallCaps w:val="0"/>
          <w:strike w:val="0"/>
          <w:sz w:val="22"/>
          <w:u w:val="single"/>
        </w:rPr>
        <w:t>regimes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Conventional property rules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and institutions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provide </w:t>
      </w:r>
      <w:r>
        <w:rPr>
          <w:b/>
          <w:i w:val="0"/>
          <w:smallCaps w:val="0"/>
          <w:strike w:val="0"/>
          <w:sz w:val="22"/>
          <w:u w:val="single"/>
        </w:rPr>
        <w:t>insight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useful metaphors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but they </w:t>
      </w:r>
      <w:r>
        <w:rPr>
          <w:b/>
          <w:i w:val="0"/>
          <w:smallCaps w:val="0"/>
          <w:strike w:val="0"/>
          <w:sz w:val="22"/>
          <w:u w:val="single"/>
        </w:rPr>
        <w:t>cannot substitute for detailed analysis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</w:t>
      </w:r>
      <w:r>
        <w:rPr>
          <w:b/>
          <w:i w:val="0"/>
          <w:smallCaps w:val="0"/>
          <w:strike w:val="0"/>
          <w:sz w:val="22"/>
          <w:u w:val="single"/>
        </w:rPr>
        <w:t>particular characteristics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resources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; </w:t>
      </w:r>
      <w:r>
        <w:rPr>
          <w:b w:val="0"/>
          <w:i w:val="0"/>
          <w:smallCaps w:val="0"/>
          <w:strike w:val="0"/>
          <w:sz w:val="22"/>
          <w:u w:val="single"/>
        </w:rPr>
        <w:t>the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human, cultural, social, technological, and historical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dimensions of the </w:t>
      </w:r>
      <w:r>
        <w:rPr>
          <w:b/>
          <w:i w:val="0"/>
          <w:smallCaps w:val="0"/>
          <w:strike w:val="0"/>
          <w:sz w:val="22"/>
          <w:u w:val="single"/>
        </w:rPr>
        <w:t>communities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which the resources are situated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;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the attributes and limitations of the </w:t>
      </w:r>
      <w:r>
        <w:rPr>
          <w:b/>
          <w:i w:val="0"/>
          <w:smallCaps w:val="0"/>
          <w:strike w:val="0"/>
          <w:sz w:val="22"/>
          <w:u w:val="single"/>
        </w:rPr>
        <w:t>full range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available institutions</w:t>
      </w:r>
      <w:r>
        <w:rPr>
          <w:b w:val="0"/>
          <w:i w:val="0"/>
          <w:smallCaps w:val="0"/>
          <w:strike w:val="0"/>
          <w:sz w:val="14"/>
          <w:u w:val="none"/>
        </w:rPr>
        <w:t>.</w:t>
      </w:r>
    </w:p>
    <w:p>
      <w:pPr>
        <w:pStyle w:val="Caption"/>
      </w:pPr>
      <w:r>
        <w:t>Source: K Affs Neg 2 - Michigan 7 2024 CFMP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