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Antitrust scrutiny is ramping up competition now.</w:t>
      </w:r>
    </w:p>
    <w:p>
      <w:pPr>
        <w:spacing w:after="80"/>
      </w:pPr>
      <w:r>
        <w:rPr>
          <w:b/>
          <w:i w:val="0"/>
          <w:smallCaps w:val="0"/>
          <w:strike w:val="0"/>
          <w:sz w:val="22"/>
          <w:u w:val="none"/>
        </w:rPr>
        <w:t>Miller 23</w:t>
      </w:r>
      <w:r>
        <w:rPr>
          <w:b w:val="0"/>
          <w:i w:val="0"/>
          <w:smallCaps w:val="0"/>
          <w:strike w:val="0"/>
          <w:u w:val="none"/>
        </w:rPr>
        <w:t xml:space="preserve"> (Ben, Securities Litigation Correspondent at Bloomberg, 12/7/23, “Big Pharma Braces for More FTC Suits Over M&amp;A Bound for Approval,” https://news.bloomberglaw.com/litigation/big-pharma-expects-more-ftc-suits-over-deals-bound-for-</w:t>
      </w:r>
      <w:r>
        <w:rPr>
          <w:b w:val="0"/>
          <w:i w:val="0"/>
          <w:smallCaps w:val="0"/>
          <w:strike w:val="0"/>
          <w:u w:val="none"/>
        </w:rPr>
        <w:t xml:space="preserve">approval,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The </w:t>
      </w:r>
      <w:r>
        <w:rPr>
          <w:b w:val="0"/>
          <w:i w:val="0"/>
          <w:smallCaps w:val="0"/>
          <w:strike w:val="0"/>
          <w:sz w:val="22"/>
          <w:highlight w:val="cyan"/>
          <w:u w:val="single"/>
        </w:rPr>
        <w:t>pharma</w:t>
      </w:r>
      <w:r>
        <w:rPr>
          <w:b w:val="0"/>
          <w:i w:val="0"/>
          <w:smallCaps w:val="0"/>
          <w:strike w:val="0"/>
          <w:sz w:val="16"/>
          <w:u w:val="none"/>
        </w:rPr>
        <w:t xml:space="preserve">ceutical sector </w:t>
      </w:r>
      <w:r>
        <w:rPr>
          <w:b w:val="0"/>
          <w:i w:val="0"/>
          <w:smallCaps w:val="0"/>
          <w:strike w:val="0"/>
          <w:sz w:val="22"/>
          <w:highlight w:val="cyan"/>
          <w:u w:val="single"/>
        </w:rPr>
        <w:t>is preparing</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more </w:t>
      </w:r>
      <w:r>
        <w:rPr>
          <w:b/>
          <w:i w:val="0"/>
          <w:smallCaps w:val="0"/>
          <w:strike w:val="0"/>
          <w:sz w:val="22"/>
          <w:highlight w:val="cyan"/>
          <w:u w:val="single"/>
        </w:rPr>
        <w:t>antitrust litigation</w:t>
      </w:r>
      <w:r>
        <w:rPr>
          <w:b w:val="0"/>
          <w:i w:val="0"/>
          <w:smallCaps w:val="0"/>
          <w:strike w:val="0"/>
          <w:sz w:val="16"/>
          <w:u w:val="none"/>
        </w:rPr>
        <w:t xml:space="preserve"> after a pivot by US regulators to lawsuits that prioritize clarifying the law over successfully blocking deals.</w:t>
      </w:r>
    </w:p>
    <w:p>
      <w:pPr>
        <w:spacing w:after="60"/>
      </w:pPr>
      <w:r>
        <w:rPr>
          <w:b w:val="0"/>
          <w:i w:val="0"/>
          <w:smallCaps w:val="0"/>
          <w:strike w:val="0"/>
          <w:sz w:val="22"/>
          <w:u w:val="single"/>
        </w:rPr>
        <w:t>Recent actions</w:t>
      </w:r>
      <w:r>
        <w:rPr>
          <w:b w:val="0"/>
          <w:i w:val="0"/>
          <w:smallCaps w:val="0"/>
          <w:strike w:val="0"/>
          <w:sz w:val="16"/>
          <w:u w:val="none"/>
        </w:rPr>
        <w:t xml:space="preserve"> </w:t>
      </w:r>
      <w:r>
        <w:rPr>
          <w:b w:val="0"/>
          <w:i w:val="0"/>
          <w:smallCaps w:val="0"/>
          <w:strike w:val="0"/>
          <w:sz w:val="22"/>
          <w:u w:val="single"/>
        </w:rPr>
        <w:t>by</w:t>
      </w:r>
      <w:r>
        <w:rPr>
          <w:b w:val="0"/>
          <w:i w:val="0"/>
          <w:smallCaps w:val="0"/>
          <w:strike w:val="0"/>
          <w:sz w:val="16"/>
          <w:u w:val="none"/>
        </w:rPr>
        <w:t xml:space="preserve"> the Federal Trade Commission under Chair Lina </w:t>
      </w:r>
      <w:r>
        <w:rPr>
          <w:b/>
          <w:i w:val="0"/>
          <w:smallCaps w:val="0"/>
          <w:strike w:val="0"/>
          <w:sz w:val="22"/>
          <w:highlight w:val="cyan"/>
          <w:u w:val="single"/>
        </w:rPr>
        <w:t>Khan</w:t>
      </w:r>
      <w:r>
        <w:rPr>
          <w:b w:val="0"/>
          <w:i w:val="0"/>
          <w:smallCaps w:val="0"/>
          <w:strike w:val="0"/>
          <w:sz w:val="16"/>
          <w:u w:val="none"/>
        </w:rPr>
        <w:t xml:space="preserve"> that include a review of Pfizer </w:t>
      </w:r>
      <w:r>
        <w:rPr>
          <w:b w:val="0"/>
          <w:i w:val="0"/>
          <w:smallCaps w:val="0"/>
          <w:strike w:val="0"/>
          <w:sz w:val="16"/>
          <w:u w:val="none"/>
        </w:rPr>
        <w:t>Inc.‘</w:t>
      </w:r>
      <w:r>
        <w:rPr>
          <w:b w:val="0"/>
          <w:i w:val="0"/>
          <w:smallCaps w:val="0"/>
          <w:strike w:val="0"/>
          <w:sz w:val="16"/>
          <w:u w:val="none"/>
        </w:rPr>
        <w:t xml:space="preserve">s $43 billion takeover of </w:t>
      </w:r>
      <w:r>
        <w:rPr>
          <w:b w:val="0"/>
          <w:i w:val="0"/>
          <w:smallCaps w:val="0"/>
          <w:strike w:val="0"/>
          <w:sz w:val="16"/>
          <w:u w:val="none"/>
        </w:rPr>
        <w:t>Seagen</w:t>
      </w:r>
      <w:r>
        <w:rPr>
          <w:b w:val="0"/>
          <w:i w:val="0"/>
          <w:smallCaps w:val="0"/>
          <w:strike w:val="0"/>
          <w:sz w:val="16"/>
          <w:u w:val="none"/>
        </w:rPr>
        <w:t xml:space="preserve"> Inc. have </w:t>
      </w:r>
      <w:r>
        <w:rPr>
          <w:b w:val="0"/>
          <w:i w:val="0"/>
          <w:smallCaps w:val="0"/>
          <w:strike w:val="0"/>
          <w:sz w:val="22"/>
          <w:u w:val="single"/>
        </w:rPr>
        <w:t>overturned settled practices for the agency</w:t>
      </w:r>
      <w:r>
        <w:rPr>
          <w:b w:val="0"/>
          <w:i w:val="0"/>
          <w:smallCaps w:val="0"/>
          <w:strike w:val="0"/>
          <w:sz w:val="16"/>
          <w:u w:val="none"/>
        </w:rPr>
        <w:t xml:space="preserve">, </w:t>
      </w:r>
      <w:r>
        <w:rPr>
          <w:b/>
          <w:i w:val="0"/>
          <w:smallCaps w:val="0"/>
          <w:strike w:val="0"/>
          <w:sz w:val="22"/>
          <w:highlight w:val="cyan"/>
          <w:u w:val="single"/>
        </w:rPr>
        <w:t>signaling</w:t>
      </w:r>
      <w:r>
        <w:rPr>
          <w:b w:val="0"/>
          <w:i w:val="0"/>
          <w:smallCaps w:val="0"/>
          <w:strike w:val="0"/>
          <w:sz w:val="16"/>
          <w:u w:val="none"/>
        </w:rPr>
        <w:t xml:space="preserve"> a greater </w:t>
      </w:r>
      <w:r>
        <w:rPr>
          <w:b w:val="0"/>
          <w:i w:val="0"/>
          <w:smallCaps w:val="0"/>
          <w:strike w:val="0"/>
          <w:sz w:val="22"/>
          <w:highlight w:val="cyan"/>
          <w:u w:val="single"/>
        </w:rPr>
        <w:t xml:space="preserve">willingness to </w:t>
      </w:r>
      <w:r>
        <w:rPr>
          <w:b/>
          <w:i w:val="0"/>
          <w:smallCaps w:val="0"/>
          <w:strike w:val="0"/>
          <w:sz w:val="22"/>
          <w:highlight w:val="cyan"/>
          <w:u w:val="single"/>
        </w:rPr>
        <w:t>litigate</w:t>
      </w:r>
      <w:r>
        <w:rPr>
          <w:b w:val="0"/>
          <w:i w:val="0"/>
          <w:smallCaps w:val="0"/>
          <w:strike w:val="0"/>
          <w:sz w:val="16"/>
          <w:u w:val="none"/>
        </w:rPr>
        <w:t xml:space="preserve"> in an attempt </w:t>
      </w:r>
      <w:r>
        <w:rPr>
          <w:b w:val="0"/>
          <w:i w:val="0"/>
          <w:smallCaps w:val="0"/>
          <w:strike w:val="0"/>
          <w:sz w:val="22"/>
          <w:highlight w:val="cyan"/>
          <w:u w:val="single"/>
        </w:rPr>
        <w:t>to</w:t>
      </w:r>
      <w:r>
        <w:rPr>
          <w:b w:val="0"/>
          <w:i w:val="0"/>
          <w:smallCaps w:val="0"/>
          <w:strike w:val="0"/>
          <w:sz w:val="16"/>
          <w:u w:val="none"/>
        </w:rPr>
        <w:t xml:space="preserve"> set precedents that </w:t>
      </w:r>
      <w:r>
        <w:rPr>
          <w:b w:val="0"/>
          <w:i w:val="0"/>
          <w:smallCaps w:val="0"/>
          <w:strike w:val="0"/>
          <w:sz w:val="22"/>
          <w:highlight w:val="cyan"/>
          <w:u w:val="single"/>
        </w:rPr>
        <w:t xml:space="preserve">define </w:t>
      </w:r>
      <w:r>
        <w:rPr>
          <w:b/>
          <w:i w:val="0"/>
          <w:smallCaps w:val="0"/>
          <w:strike w:val="0"/>
          <w:sz w:val="22"/>
          <w:highlight w:val="cyan"/>
          <w:u w:val="single"/>
        </w:rPr>
        <w:t>anticompetitive</w:t>
      </w:r>
      <w:r>
        <w:rPr>
          <w:b w:val="0"/>
          <w:i w:val="0"/>
          <w:smallCaps w:val="0"/>
          <w:strike w:val="0"/>
          <w:sz w:val="22"/>
          <w:u w:val="single"/>
        </w:rPr>
        <w:t xml:space="preserve"> </w:t>
      </w:r>
      <w:r>
        <w:rPr>
          <w:b w:val="0"/>
          <w:i w:val="0"/>
          <w:smallCaps w:val="0"/>
          <w:strike w:val="0"/>
          <w:sz w:val="22"/>
          <w:highlight w:val="cyan"/>
          <w:u w:val="single"/>
        </w:rPr>
        <w:t>conduct</w:t>
      </w:r>
      <w:r>
        <w:rPr>
          <w:b w:val="0"/>
          <w:i w:val="0"/>
          <w:smallCaps w:val="0"/>
          <w:strike w:val="0"/>
          <w:sz w:val="16"/>
          <w:u w:val="none"/>
        </w:rPr>
        <w:t>, according to academics and a former FTC director.</w:t>
      </w:r>
    </w:p>
    <w:p>
      <w:pPr>
        <w:spacing w:after="60"/>
      </w:pPr>
      <w:r>
        <w:rPr>
          <w:b w:val="0"/>
          <w:i w:val="0"/>
          <w:smallCaps w:val="0"/>
          <w:strike w:val="0"/>
          <w:sz w:val="22"/>
          <w:u w:val="single"/>
        </w:rPr>
        <w:t xml:space="preserve">The </w:t>
      </w:r>
      <w:r>
        <w:rPr>
          <w:b w:val="0"/>
          <w:i w:val="0"/>
          <w:smallCaps w:val="0"/>
          <w:strike w:val="0"/>
          <w:sz w:val="22"/>
          <w:highlight w:val="cyan"/>
          <w:u w:val="single"/>
        </w:rPr>
        <w:t>FTC</w:t>
      </w:r>
      <w:r>
        <w:rPr>
          <w:b w:val="0"/>
          <w:i w:val="0"/>
          <w:smallCaps w:val="0"/>
          <w:strike w:val="0"/>
          <w:sz w:val="16"/>
          <w:u w:val="none"/>
        </w:rPr>
        <w:t xml:space="preserve"> </w:t>
      </w:r>
      <w:r>
        <w:rPr>
          <w:b w:val="0"/>
          <w:i w:val="0"/>
          <w:smallCaps w:val="0"/>
          <w:strike w:val="0"/>
          <w:sz w:val="22"/>
          <w:u w:val="single"/>
        </w:rPr>
        <w:t>announced</w:t>
      </w:r>
      <w:r>
        <w:rPr>
          <w:b w:val="0"/>
          <w:i w:val="0"/>
          <w:smallCaps w:val="0"/>
          <w:strike w:val="0"/>
          <w:sz w:val="16"/>
          <w:u w:val="none"/>
        </w:rPr>
        <w:t xml:space="preserve"> Thursday </w:t>
      </w:r>
      <w:r>
        <w:rPr>
          <w:b w:val="0"/>
          <w:i w:val="0"/>
          <w:smallCaps w:val="0"/>
          <w:strike w:val="0"/>
          <w:sz w:val="22"/>
          <w:u w:val="single"/>
        </w:rPr>
        <w:t xml:space="preserve">it would </w:t>
      </w:r>
      <w:r>
        <w:rPr>
          <w:b w:val="0"/>
          <w:i w:val="0"/>
          <w:smallCaps w:val="0"/>
          <w:strike w:val="0"/>
          <w:sz w:val="22"/>
          <w:highlight w:val="cyan"/>
          <w:u w:val="single"/>
        </w:rPr>
        <w:t xml:space="preserve">engage in </w:t>
      </w:r>
      <w:r>
        <w:rPr>
          <w:b/>
          <w:i w:val="0"/>
          <w:smallCaps w:val="0"/>
          <w:strike w:val="0"/>
          <w:sz w:val="22"/>
          <w:highlight w:val="cyan"/>
          <w:u w:val="single"/>
        </w:rPr>
        <w:t>data</w:t>
      </w:r>
      <w:r>
        <w:rPr>
          <w:b w:val="0"/>
          <w:i w:val="0"/>
          <w:smallCaps w:val="0"/>
          <w:strike w:val="0"/>
          <w:sz w:val="22"/>
          <w:highlight w:val="cyan"/>
          <w:u w:val="single"/>
        </w:rPr>
        <w:t xml:space="preserve"> </w:t>
      </w:r>
      <w:r>
        <w:rPr>
          <w:b/>
          <w:i w:val="0"/>
          <w:smallCaps w:val="0"/>
          <w:strike w:val="0"/>
          <w:sz w:val="22"/>
          <w:highlight w:val="cyan"/>
          <w:u w:val="single"/>
        </w:rPr>
        <w:t>sharing</w:t>
      </w:r>
      <w:r>
        <w:rPr>
          <w:b w:val="0"/>
          <w:i w:val="0"/>
          <w:smallCaps w:val="0"/>
          <w:strike w:val="0"/>
          <w:sz w:val="16"/>
          <w:u w:val="none"/>
        </w:rPr>
        <w:t xml:space="preserve"> with the Justice Department and the Department of Health and Human Services. </w:t>
      </w:r>
      <w:r>
        <w:rPr>
          <w:b w:val="0"/>
          <w:i w:val="0"/>
          <w:smallCaps w:val="0"/>
          <w:strike w:val="0"/>
          <w:sz w:val="22"/>
          <w:u w:val="single"/>
        </w:rPr>
        <w:t xml:space="preserve">The plan will </w:t>
      </w:r>
      <w:r>
        <w:rPr>
          <w:b w:val="0"/>
          <w:i w:val="0"/>
          <w:smallCaps w:val="0"/>
          <w:strike w:val="0"/>
          <w:sz w:val="22"/>
          <w:highlight w:val="cyan"/>
          <w:u w:val="single"/>
        </w:rPr>
        <w:t>help</w:t>
      </w:r>
      <w:r>
        <w:rPr>
          <w:b w:val="0"/>
          <w:i w:val="0"/>
          <w:smallCaps w:val="0"/>
          <w:strike w:val="0"/>
          <w:sz w:val="22"/>
          <w:u w:val="single"/>
        </w:rPr>
        <w:t xml:space="preserve"> antitrust </w:t>
      </w:r>
      <w:r>
        <w:rPr>
          <w:b w:val="0"/>
          <w:i w:val="0"/>
          <w:smallCaps w:val="0"/>
          <w:strike w:val="0"/>
          <w:sz w:val="22"/>
          <w:highlight w:val="cyan"/>
          <w:u w:val="single"/>
        </w:rPr>
        <w:t xml:space="preserve">enforcers </w:t>
      </w:r>
      <w:r>
        <w:rPr>
          <w:b/>
          <w:i w:val="0"/>
          <w:smallCaps w:val="0"/>
          <w:strike w:val="0"/>
          <w:sz w:val="22"/>
          <w:highlight w:val="cyan"/>
          <w:u w:val="single"/>
        </w:rPr>
        <w:t>identify</w:t>
      </w:r>
      <w:r>
        <w:rPr>
          <w:b w:val="0"/>
          <w:i w:val="0"/>
          <w:smallCaps w:val="0"/>
          <w:strike w:val="0"/>
          <w:sz w:val="22"/>
          <w:highlight w:val="cyan"/>
          <w:u w:val="single"/>
        </w:rPr>
        <w:t xml:space="preserve"> potentially</w:t>
      </w:r>
      <w:r>
        <w:rPr>
          <w:b w:val="0"/>
          <w:i w:val="0"/>
          <w:smallCaps w:val="0"/>
          <w:strike w:val="0"/>
          <w:sz w:val="16"/>
          <w:u w:val="none"/>
        </w:rPr>
        <w:t xml:space="preserve"> </w:t>
      </w:r>
      <w:r>
        <w:rPr>
          <w:b/>
          <w:i w:val="0"/>
          <w:smallCaps w:val="0"/>
          <w:strike w:val="0"/>
          <w:sz w:val="22"/>
          <w:highlight w:val="cyan"/>
          <w:u w:val="single"/>
        </w:rPr>
        <w:t>anticompetitive</w:t>
      </w:r>
      <w:r>
        <w:rPr>
          <w:b w:val="0"/>
          <w:i w:val="0"/>
          <w:smallCaps w:val="0"/>
          <w:strike w:val="0"/>
          <w:sz w:val="22"/>
          <w:highlight w:val="cyan"/>
          <w:u w:val="single"/>
        </w:rPr>
        <w:t xml:space="preserve"> </w:t>
      </w:r>
      <w:r>
        <w:rPr>
          <w:b/>
          <w:i w:val="0"/>
          <w:smallCaps w:val="0"/>
          <w:strike w:val="0"/>
          <w:sz w:val="22"/>
          <w:highlight w:val="cyan"/>
          <w:u w:val="single"/>
        </w:rPr>
        <w:t>acquisitions</w:t>
      </w:r>
      <w:r>
        <w:rPr>
          <w:b w:val="0"/>
          <w:i w:val="0"/>
          <w:smallCaps w:val="0"/>
          <w:strike w:val="0"/>
          <w:sz w:val="16"/>
          <w:u w:val="none"/>
        </w:rPr>
        <w:t xml:space="preserve"> that may otherwise go under the radar, according to a senior administration official.</w:t>
      </w:r>
    </w:p>
    <w:p>
      <w:pPr>
        <w:spacing w:after="60"/>
      </w:pPr>
      <w:r>
        <w:rPr>
          <w:b w:val="0"/>
          <w:i w:val="0"/>
          <w:smallCaps w:val="0"/>
          <w:strike w:val="0"/>
          <w:sz w:val="16"/>
          <w:u w:val="none"/>
        </w:rPr>
        <w:t>“You’re going to see a greater willingness to litigate, not based on whether they’re going to win or not, but based on the need to clarify law,” said David Balto, a lawyer and former FTC Assistant Director of Policy and Evaluation who now practices in Chevy Chase, Md.</w:t>
      </w:r>
    </w:p>
    <w:p>
      <w:pPr>
        <w:spacing w:after="60"/>
      </w:pPr>
      <w:r>
        <w:rPr>
          <w:b w:val="0"/>
          <w:i w:val="0"/>
          <w:smallCaps w:val="0"/>
          <w:strike w:val="0"/>
          <w:sz w:val="16"/>
          <w:u w:val="none"/>
        </w:rPr>
        <w:t>Business groups are already taking countermeasures: Most recently, the US Chamber of Commerce and more than two dozen other trade associations urged Congress to stop one phase of the regulator’s pivot—an overhaul of the FTC and Justice Department’s merger and acquisition review process. The proposed changes to pre-merger notification rules reject the established Hart-Scott-Rodino Act standards and would generate more than $2 billion in new costs for businesses, they said.</w:t>
      </w:r>
    </w:p>
    <w:p>
      <w:pPr>
        <w:spacing w:after="60"/>
      </w:pPr>
      <w:r>
        <w:rPr>
          <w:b w:val="0"/>
          <w:i w:val="0"/>
          <w:smallCaps w:val="0"/>
          <w:strike w:val="0"/>
          <w:sz w:val="16"/>
          <w:u w:val="none"/>
        </w:rPr>
        <w:t>Companies are right to be wary of the tone the current FTC has set, Balto said.</w:t>
      </w:r>
    </w:p>
    <w:p>
      <w:pPr>
        <w:spacing w:after="60"/>
      </w:pPr>
      <w:r>
        <w:rPr>
          <w:b w:val="0"/>
          <w:i w:val="0"/>
          <w:smallCaps w:val="0"/>
          <w:strike w:val="0"/>
          <w:sz w:val="16"/>
          <w:u w:val="none"/>
        </w:rPr>
        <w:t>“This has been, for the last 30 years, simply a regulatory process,” he said. “</w:t>
      </w:r>
      <w:r>
        <w:rPr>
          <w:b w:val="0"/>
          <w:i w:val="0"/>
          <w:smallCaps w:val="0"/>
          <w:strike w:val="0"/>
          <w:sz w:val="16"/>
          <w:u w:val="none"/>
        </w:rPr>
        <w:t xml:space="preserve">But the </w:t>
      </w:r>
      <w:r>
        <w:rPr>
          <w:b w:val="0"/>
          <w:i w:val="0"/>
          <w:smallCaps w:val="0"/>
          <w:strike w:val="0"/>
          <w:sz w:val="22"/>
          <w:highlight w:val="cyan"/>
          <w:u w:val="single"/>
        </w:rPr>
        <w:t>commissioners</w:t>
      </w:r>
      <w:r>
        <w:rPr>
          <w:b w:val="0"/>
          <w:i w:val="0"/>
          <w:smallCaps w:val="0"/>
          <w:strike w:val="0"/>
          <w:sz w:val="16"/>
          <w:u w:val="none"/>
        </w:rPr>
        <w:t xml:space="preserve"> don’t like that. They </w:t>
      </w:r>
      <w:r>
        <w:rPr>
          <w:b w:val="0"/>
          <w:i w:val="0"/>
          <w:smallCaps w:val="0"/>
          <w:strike w:val="0"/>
          <w:sz w:val="22"/>
          <w:u w:val="single"/>
        </w:rPr>
        <w:t xml:space="preserve">want something </w:t>
      </w:r>
      <w:r>
        <w:rPr>
          <w:b/>
          <w:i w:val="0"/>
          <w:smallCaps w:val="0"/>
          <w:strike w:val="0"/>
          <w:sz w:val="22"/>
          <w:u w:val="single"/>
        </w:rPr>
        <w:t>permanent</w:t>
      </w:r>
      <w:r>
        <w:rPr>
          <w:b w:val="0"/>
          <w:i w:val="0"/>
          <w:smallCaps w:val="0"/>
          <w:strike w:val="0"/>
          <w:sz w:val="22"/>
          <w:u w:val="single"/>
        </w:rPr>
        <w:t xml:space="preserve"> to </w:t>
      </w:r>
      <w:r>
        <w:rPr>
          <w:b w:val="0"/>
          <w:i w:val="0"/>
          <w:smallCaps w:val="0"/>
          <w:strike w:val="0"/>
          <w:sz w:val="22"/>
          <w:highlight w:val="cyan"/>
          <w:u w:val="single"/>
        </w:rPr>
        <w:t xml:space="preserve">establish </w:t>
      </w:r>
      <w:r>
        <w:rPr>
          <w:b/>
          <w:i w:val="0"/>
          <w:smallCaps w:val="0"/>
          <w:strike w:val="0"/>
          <w:sz w:val="22"/>
          <w:highlight w:val="cyan"/>
          <w:u w:val="single"/>
        </w:rPr>
        <w:t>precedents</w:t>
      </w:r>
      <w:r>
        <w:rPr>
          <w:b w:val="0"/>
          <w:i w:val="0"/>
          <w:smallCaps w:val="0"/>
          <w:strike w:val="0"/>
          <w:sz w:val="16"/>
          <w:u w:val="none"/>
        </w:rPr>
        <w:t xml:space="preserve"> </w:t>
      </w:r>
      <w:r>
        <w:rPr>
          <w:b w:val="0"/>
          <w:i w:val="0"/>
          <w:smallCaps w:val="0"/>
          <w:strike w:val="0"/>
          <w:sz w:val="22"/>
          <w:highlight w:val="cyan"/>
          <w:u w:val="single"/>
        </w:rPr>
        <w:t>that</w:t>
      </w:r>
      <w:r>
        <w:rPr>
          <w:b w:val="0"/>
          <w:i w:val="0"/>
          <w:smallCaps w:val="0"/>
          <w:strike w:val="0"/>
          <w:sz w:val="22"/>
          <w:u w:val="single"/>
        </w:rPr>
        <w:t xml:space="preserve"> will </w:t>
      </w:r>
      <w:r>
        <w:rPr>
          <w:b/>
          <w:i w:val="0"/>
          <w:smallCaps w:val="0"/>
          <w:strike w:val="0"/>
          <w:sz w:val="22"/>
          <w:highlight w:val="cyan"/>
          <w:u w:val="single"/>
        </w:rPr>
        <w:t>govern conduct</w:t>
      </w:r>
      <w:r>
        <w:rPr>
          <w:b w:val="0"/>
          <w:i w:val="0"/>
          <w:smallCaps w:val="0"/>
          <w:strike w:val="0"/>
          <w:sz w:val="22"/>
          <w:u w:val="single"/>
        </w:rPr>
        <w:t xml:space="preserve"> </w:t>
      </w:r>
      <w:r>
        <w:rPr>
          <w:b w:val="0"/>
          <w:i w:val="0"/>
          <w:smallCaps w:val="0"/>
          <w:strike w:val="0"/>
          <w:sz w:val="22"/>
          <w:highlight w:val="cyan"/>
          <w:u w:val="single"/>
        </w:rPr>
        <w:t>into the future</w:t>
      </w:r>
      <w:r>
        <w:rPr>
          <w:b w:val="0"/>
          <w:i w:val="0"/>
          <w:smallCaps w:val="0"/>
          <w:strike w:val="0"/>
          <w:sz w:val="16"/>
          <w:u w:val="none"/>
        </w:rPr>
        <w:t>.”</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