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Health Equity evaluation and policy consideration is on the rise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Janice </w:t>
      </w:r>
      <w:r>
        <w:rPr>
          <w:b/>
          <w:i w:val="0"/>
          <w:smallCaps w:val="0"/>
          <w:strike w:val="0"/>
          <w:sz w:val="26"/>
          <w:u w:val="none"/>
        </w:rPr>
        <w:t>Lee</w:t>
      </w:r>
      <w:r>
        <w:rPr>
          <w:b/>
          <w:i w:val="0"/>
          <w:smallCaps w:val="0"/>
          <w:strike w:val="0"/>
          <w:sz w:val="26"/>
          <w:u w:val="none"/>
        </w:rPr>
        <w:t xml:space="preserve"> at el.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18</w:t>
      </w:r>
      <w:r>
        <w:rPr>
          <w:b w:val="0"/>
          <w:i w:val="0"/>
          <w:smallCaps w:val="0"/>
          <w:strike w:val="0"/>
          <w:sz w:val="22"/>
          <w:u w:val="none"/>
        </w:rPr>
        <w:t>(Janice Lee, Ashley Schram, and Sharon Friel are from the school of Regulation and Global Governance (</w:t>
      </w:r>
      <w:r>
        <w:rPr>
          <w:b w:val="0"/>
          <w:i w:val="0"/>
          <w:smallCaps w:val="0"/>
          <w:strike w:val="0"/>
          <w:sz w:val="22"/>
          <w:u w:val="none"/>
        </w:rPr>
        <w:t>RegNet</w:t>
      </w:r>
      <w:r>
        <w:rPr>
          <w:b w:val="0"/>
          <w:i w:val="0"/>
          <w:smallCaps w:val="0"/>
          <w:strike w:val="0"/>
          <w:sz w:val="22"/>
          <w:u w:val="none"/>
        </w:rPr>
        <w:t>.), Emily Riley and Patrick Harris are from Menzies Centre for Health Policy, Sydney Medical School, The University of Sydney, Sydney, NSW, Australia.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Matt Fisher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none"/>
        </w:rPr>
        <w:t>Toby Freeman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are from </w:t>
      </w:r>
      <w:r>
        <w:rPr>
          <w:b w:val="0"/>
          <w:i w:val="0"/>
          <w:smallCaps w:val="0"/>
          <w:strike w:val="0"/>
          <w:sz w:val="22"/>
          <w:u w:val="none"/>
        </w:rPr>
        <w:t>Southgate Institute of Health, Society and Equity, Flinders University, Adelaide, SA, Australia.</w:t>
      </w:r>
      <w:r>
        <w:rPr>
          <w:b w:val="0"/>
          <w:i w:val="0"/>
          <w:smallCaps w:val="0"/>
          <w:strike w:val="0"/>
          <w:sz w:val="22"/>
          <w:u w:val="none"/>
        </w:rPr>
        <w:t>, “</w:t>
      </w:r>
      <w:r>
        <w:rPr>
          <w:b w:val="0"/>
          <w:i w:val="0"/>
          <w:smallCaps w:val="0"/>
          <w:strike w:val="0"/>
          <w:sz w:val="22"/>
          <w:u w:val="none"/>
        </w:rPr>
        <w:t>Addressing Health Equity Through Action on the Social Determinants of Health: A Global Review of Policy Outcome Evaluation Methods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”,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2018 Feb 6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10.15171/ijhpm.2018.04. PMID: 29996578; PMCID: PMC6037500.</w:t>
      </w:r>
      <w:r>
        <w:rPr>
          <w:b w:val="0"/>
          <w:i w:val="0"/>
          <w:smallCaps w:val="0"/>
          <w:strike w:val="0"/>
          <w:sz w:val="22"/>
          <w:u w:val="none"/>
        </w:rPr>
        <w:t>)</w:t>
      </w:r>
      <w:r>
        <w:rPr>
          <w:b w:val="0"/>
          <w:i w:val="0"/>
          <w:smallCaps w:val="0"/>
          <w:strike w:val="0"/>
          <w:sz w:val="22"/>
          <w:u w:val="none"/>
        </w:rPr>
        <w:t>//OES-CKR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Results: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We found a growing number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wide range of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policies being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evaluated for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health equity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outcomes using a variety of research designs.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majority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studies employed an observational research design, most of which were cross-sectional, however, other approaches included experimental designs, simulation modelling, and meta-analysis. Regression techniques dominated the analytical approaches, although </w:t>
      </w:r>
      <w:r>
        <w:rPr>
          <w:b w:val="0"/>
          <w:i w:val="0"/>
          <w:smallCaps w:val="0"/>
          <w:strike w:val="0"/>
          <w:sz w:val="16"/>
          <w:u w:val="none"/>
        </w:rPr>
        <w:t>a number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novel techniques were used which may offer advantages over traditional regression analysis for the study of distributional impacts of policy. Few studies made intra-national or cross-national comparisons or collected primary data. Despite longstanding challenges of attribution in policy outcome evaluation, </w:t>
      </w:r>
      <w:r>
        <w:rPr>
          <w:b w:val="0"/>
          <w:i w:val="0"/>
          <w:smallCaps w:val="0"/>
          <w:strike w:val="0"/>
          <w:sz w:val="16"/>
          <w:u w:val="none"/>
        </w:rPr>
        <w:t>the majority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studies attributed change in physical or mental health outcomes to the policy being evaluated. Conclusion: Our review provides an overview of methodological approaches to health equity policy outcome evaluation, demonstrating what is most commonplace and opportunities from novel approaches. </w:t>
      </w:r>
      <w:r>
        <w:rPr>
          <w:b/>
          <w:i w:val="0"/>
          <w:smallCaps w:val="0"/>
          <w:strike w:val="0"/>
          <w:sz w:val="22"/>
          <w:u w:val="single"/>
        </w:rPr>
        <w:t xml:space="preserve">We found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the number of studies evaluating the impacts of public policies on health equity are on the rise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 this area of policy evaluation still requires more attention given growing inequities.</w:t>
      </w:r>
    </w:p>
    <w:p>
      <w:pPr>
        <w:pStyle w:val="Caption"/>
      </w:pPr>
      <w:r>
        <w:t>Source: Miscellaneous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