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Health Equity is </w:t>
      </w:r>
      <w:r>
        <w:rPr>
          <w:b/>
          <w:i w:val="0"/>
          <w:smallCaps w:val="0"/>
          <w:strike w:val="0"/>
          <w:sz w:val="26"/>
          <w:u w:val="none"/>
        </w:rPr>
        <w:t>key to</w:t>
      </w:r>
      <w:r>
        <w:rPr>
          <w:b/>
          <w:i w:val="0"/>
          <w:smallCaps w:val="0"/>
          <w:strike w:val="0"/>
          <w:sz w:val="26"/>
          <w:u w:val="none"/>
        </w:rPr>
        <w:t xml:space="preserve"> </w:t>
      </w:r>
      <w:r>
        <w:rPr>
          <w:b/>
          <w:i w:val="0"/>
          <w:smallCaps w:val="0"/>
          <w:strike w:val="0"/>
          <w:sz w:val="26"/>
          <w:u w:val="single"/>
        </w:rPr>
        <w:t>Cost</w:t>
      </w:r>
      <w:r>
        <w:rPr>
          <w:b/>
          <w:i w:val="0"/>
          <w:smallCaps w:val="0"/>
          <w:strike w:val="0"/>
          <w:sz w:val="26"/>
          <w:u w:val="single"/>
        </w:rPr>
        <w:t>-</w:t>
      </w:r>
      <w:r>
        <w:rPr>
          <w:b/>
          <w:i w:val="0"/>
          <w:smallCaps w:val="0"/>
          <w:strike w:val="0"/>
          <w:sz w:val="26"/>
          <w:u w:val="single"/>
        </w:rPr>
        <w:t>saving</w:t>
      </w:r>
      <w:r>
        <w:rPr>
          <w:b/>
          <w:i w:val="0"/>
          <w:smallCaps w:val="0"/>
          <w:strike w:val="0"/>
          <w:sz w:val="26"/>
          <w:u w:val="none"/>
        </w:rPr>
        <w:t xml:space="preserve">, Innovation through </w:t>
      </w:r>
      <w:r>
        <w:rPr>
          <w:b/>
          <w:i w:val="0"/>
          <w:smallCaps w:val="0"/>
          <w:strike w:val="0"/>
          <w:sz w:val="26"/>
          <w:u w:val="single"/>
        </w:rPr>
        <w:t>sector collaboration</w:t>
      </w:r>
      <w:r>
        <w:rPr>
          <w:b/>
          <w:i w:val="0"/>
          <w:smallCaps w:val="0"/>
          <w:strike w:val="0"/>
          <w:sz w:val="26"/>
          <w:u w:val="none"/>
        </w:rPr>
        <w:t xml:space="preserve">, </w:t>
      </w:r>
      <w:r>
        <w:rPr>
          <w:b/>
          <w:i w:val="0"/>
          <w:smallCaps w:val="0"/>
          <w:strike w:val="0"/>
          <w:sz w:val="26"/>
          <w:u w:val="single"/>
        </w:rPr>
        <w:t>reducing disease</w:t>
      </w:r>
      <w:r>
        <w:rPr>
          <w:b/>
          <w:i w:val="0"/>
          <w:smallCaps w:val="0"/>
          <w:strike w:val="0"/>
          <w:sz w:val="26"/>
          <w:u w:val="none"/>
        </w:rPr>
        <w:t>,</w:t>
      </w:r>
      <w:r>
        <w:rPr>
          <w:b/>
          <w:i w:val="0"/>
          <w:smallCaps w:val="0"/>
          <w:strike w:val="0"/>
          <w:sz w:val="26"/>
          <w:u w:val="single"/>
        </w:rPr>
        <w:t xml:space="preserve"> </w:t>
      </w:r>
      <w:r>
        <w:rPr>
          <w:b/>
          <w:i w:val="0"/>
          <w:smallCaps w:val="0"/>
          <w:strike w:val="0"/>
          <w:sz w:val="26"/>
          <w:u w:val="none"/>
        </w:rPr>
        <w:t>and advancement in more</w:t>
      </w:r>
      <w:r>
        <w:rPr>
          <w:b/>
          <w:i w:val="0"/>
          <w:smallCaps w:val="0"/>
          <w:strike w:val="0"/>
          <w:sz w:val="26"/>
          <w:u w:val="none"/>
        </w:rPr>
        <w:t xml:space="preserve"> accurate medical data. Without Health Equity case has no solvency. </w:t>
      </w:r>
    </w:p>
    <w:p>
      <w:pPr>
        <w:spacing w:after="80"/>
      </w:pPr>
      <w:r>
        <w:rPr>
          <w:b w:val="0"/>
          <w:i w:val="0"/>
          <w:smallCaps w:val="0"/>
          <w:strike w:val="0"/>
          <w:u w:val="none"/>
        </w:rPr>
        <w:t>Chrystal L</w:t>
      </w:r>
      <w:r>
        <w:rPr>
          <w:b/>
          <w:i w:val="0"/>
          <w:smallCaps w:val="0"/>
          <w:strike w:val="0"/>
          <w:sz w:val="26"/>
          <w:u w:val="none"/>
        </w:rPr>
        <w:t>. Lewis</w:t>
      </w:r>
      <w:r>
        <w:rPr>
          <w:b/>
          <w:i w:val="0"/>
          <w:smallCaps w:val="0"/>
          <w:strike w:val="0"/>
          <w:sz w:val="26"/>
          <w:u w:val="none"/>
        </w:rPr>
        <w:t xml:space="preserve"> at el.</w:t>
      </w:r>
      <w:r>
        <w:rPr>
          <w:b w:val="0"/>
          <w:i w:val="0"/>
          <w:smallCaps w:val="0"/>
          <w:strike w:val="0"/>
          <w:u w:val="none"/>
        </w:rPr>
        <w:t xml:space="preserve"> 20</w:t>
      </w:r>
      <w:r>
        <w:rPr>
          <w:b/>
          <w:i w:val="0"/>
          <w:smallCaps w:val="0"/>
          <w:strike w:val="0"/>
          <w:sz w:val="26"/>
          <w:u w:val="none"/>
        </w:rPr>
        <w:t>23</w:t>
      </w:r>
      <w:r>
        <w:rPr>
          <w:b w:val="0"/>
          <w:i w:val="0"/>
          <w:smallCaps w:val="0"/>
          <w:strike w:val="0"/>
          <w:sz w:val="22"/>
          <w:u w:val="none"/>
        </w:rPr>
        <w:t xml:space="preserve">(Chystal L. Lewis is a Nurse Scientist at Stanford Healthcare, Dr. Alice F. Yan's research focuses on eliminating health disparities in minority populations, Michelle Y. Williams PhD, RN, FAAN. Clinical Assistant Professor, Medicine - Primary Care and Population Health, Lynette V. </w:t>
      </w:r>
      <w:r>
        <w:rPr>
          <w:b w:val="0"/>
          <w:i w:val="0"/>
          <w:smallCaps w:val="0"/>
          <w:strike w:val="0"/>
          <w:sz w:val="22"/>
          <w:u w:val="none"/>
        </w:rPr>
        <w:t>Apen</w:t>
      </w:r>
      <w:r>
        <w:rPr>
          <w:b w:val="0"/>
          <w:i w:val="0"/>
          <w:smallCaps w:val="0"/>
          <w:strike w:val="0"/>
          <w:sz w:val="22"/>
          <w:u w:val="none"/>
        </w:rPr>
        <w:t xml:space="preserve"> has over 26 years of experience serving in clinical, academic, and leadership roles. Dr. </w:t>
      </w:r>
      <w:r>
        <w:rPr>
          <w:b w:val="0"/>
          <w:i w:val="0"/>
          <w:smallCaps w:val="0"/>
          <w:strike w:val="0"/>
          <w:sz w:val="22"/>
          <w:u w:val="none"/>
        </w:rPr>
        <w:t>Apen's</w:t>
      </w:r>
      <w:r>
        <w:rPr>
          <w:b w:val="0"/>
          <w:i w:val="0"/>
          <w:smallCaps w:val="0"/>
          <w:strike w:val="0"/>
          <w:sz w:val="22"/>
          <w:u w:val="none"/>
        </w:rPr>
        <w:t xml:space="preserve"> clinical background is in oncology nursing, Dr. Cecelia L. Crawford, DNP, RN, PHN, FAAN. Present Collaborator, Coordinator, Connector, and Consultant for EBP, Research, and Program Evaluation, Lisa Morse unknown, Dr. Valdez is a Professor of Nursing at Sonoma State University and the Editor-in-Chief of the Journal of Emergency Nursing, Dr. G. </w:t>
      </w:r>
      <w:r>
        <w:rPr>
          <w:b w:val="0"/>
          <w:i w:val="0"/>
          <w:smallCaps w:val="0"/>
          <w:strike w:val="0"/>
          <w:sz w:val="22"/>
          <w:u w:val="none"/>
        </w:rPr>
        <w:t>Rumay</w:t>
      </w:r>
      <w:r>
        <w:rPr>
          <w:b w:val="0"/>
          <w:i w:val="0"/>
          <w:smallCaps w:val="0"/>
          <w:strike w:val="0"/>
          <w:sz w:val="22"/>
          <w:u w:val="none"/>
        </w:rPr>
        <w:t xml:space="preserve"> Alexander, noted author and consultant, is a professor in the School of Nursing, special assistant to the dean of the Adams School of Dentistry, Dr. Ernest J. Grant is the 36th president of the American Nurses Association (ANA), Claire Valderama-Wallace (she/</w:t>
      </w:r>
      <w:r>
        <w:rPr>
          <w:b w:val="0"/>
          <w:i w:val="0"/>
          <w:smallCaps w:val="0"/>
          <w:strike w:val="0"/>
          <w:sz w:val="22"/>
          <w:u w:val="none"/>
        </w:rPr>
        <w:t>siya</w:t>
      </w:r>
      <w:r>
        <w:rPr>
          <w:b w:val="0"/>
          <w:i w:val="0"/>
          <w:smallCaps w:val="0"/>
          <w:strike w:val="0"/>
          <w:sz w:val="22"/>
          <w:u w:val="none"/>
        </w:rPr>
        <w:t>) is an Associate Professor in the Department of Nursing at California State University, Chief Nurse Executive; Senior Vice President at Stanford Health Care. “Health equity: A concept analysis”</w:t>
      </w:r>
      <w:r>
        <w:rPr>
          <w:b w:val="0"/>
          <w:i w:val="0"/>
          <w:smallCaps w:val="0"/>
          <w:strike w:val="0"/>
          <w:u w:val="none"/>
        </w:rPr>
        <w:t xml:space="preserve"> </w:t>
      </w:r>
      <w:r>
        <w:rPr>
          <w:b w:val="0"/>
          <w:i w:val="0"/>
          <w:smallCaps w:val="0"/>
          <w:strike w:val="0"/>
          <w:sz w:val="22"/>
          <w:u w:val="none"/>
        </w:rPr>
        <w:t xml:space="preserve">Volume 71, Issue 5, Nursing Outlook, </w:t>
      </w:r>
      <w:r>
        <w:rPr>
          <w:b w:val="0"/>
          <w:i w:val="0"/>
          <w:smallCaps w:val="0"/>
          <w:strike w:val="0"/>
          <w:sz w:val="22"/>
          <w:u w:val="none"/>
        </w:rPr>
        <w:t>, 0029-6554)//OES-CKR</w:t>
      </w:r>
    </w:p>
    <w:p>
      <w:pPr>
        <w:spacing w:after="60"/>
      </w:pPr>
      <w:r>
        <w:rPr>
          <w:b w:val="0"/>
          <w:i w:val="0"/>
          <w:smallCaps w:val="0"/>
          <w:strike w:val="0"/>
          <w:sz w:val="16"/>
          <w:u w:val="none"/>
        </w:rPr>
        <w:t xml:space="preserve">Walker and Avant (2019) define consequences as incidents or events that happen </w:t>
      </w:r>
      <w:r>
        <w:rPr>
          <w:b w:val="0"/>
          <w:i w:val="0"/>
          <w:smallCaps w:val="0"/>
          <w:strike w:val="0"/>
          <w:sz w:val="16"/>
          <w:u w:val="none"/>
        </w:rPr>
        <w:t>as a result of</w:t>
      </w:r>
      <w:r>
        <w:rPr>
          <w:b w:val="0"/>
          <w:i w:val="0"/>
          <w:smallCaps w:val="0"/>
          <w:strike w:val="0"/>
          <w:sz w:val="16"/>
          <w:u w:val="none"/>
        </w:rPr>
        <w:t xml:space="preserve"> the occurrence of a concept. As health equity has not yet been reached, the consequences discussed here are theoretical in nature. </w:t>
      </w:r>
      <w:r>
        <w:rPr>
          <w:b/>
          <w:i w:val="0"/>
          <w:smallCaps w:val="0"/>
          <w:strike w:val="0"/>
          <w:sz w:val="22"/>
          <w:highlight w:val="yellow"/>
          <w:u w:val="single"/>
        </w:rPr>
        <w:t>There are four categories of consequences for health equity</w:t>
      </w:r>
      <w:r>
        <w:rPr>
          <w:b/>
          <w:i w:val="0"/>
          <w:smallCaps w:val="0"/>
          <w:strike w:val="0"/>
          <w:sz w:val="22"/>
          <w:u w:val="single"/>
        </w:rPr>
        <w:t xml:space="preserve"> </w:t>
      </w:r>
      <w:r>
        <w:rPr>
          <w:b w:val="0"/>
          <w:i w:val="0"/>
          <w:smallCaps w:val="0"/>
          <w:strike w:val="0"/>
          <w:sz w:val="16"/>
          <w:u w:val="none"/>
        </w:rPr>
        <w:t xml:space="preserve">(see Figure 2 and Supplement </w:t>
      </w:r>
      <w:r>
        <w:rPr>
          <w:b w:val="0"/>
          <w:i w:val="0"/>
          <w:smallCaps w:val="0"/>
          <w:strike w:val="0"/>
          <w:sz w:val="16"/>
          <w:u w:val="none"/>
        </w:rPr>
        <w:t>2 )</w:t>
      </w:r>
      <w:r>
        <w:rPr>
          <w:b w:val="0"/>
          <w:i w:val="0"/>
          <w:smallCaps w:val="0"/>
          <w:strike w:val="0"/>
          <w:sz w:val="16"/>
          <w:u w:val="none"/>
        </w:rPr>
        <w:t xml:space="preserve">. First, at the societal level, </w:t>
      </w:r>
      <w:r>
        <w:rPr>
          <w:b w:val="0"/>
          <w:i w:val="0"/>
          <w:smallCaps w:val="0"/>
          <w:strike w:val="0"/>
          <w:sz w:val="22"/>
          <w:u w:val="single"/>
        </w:rPr>
        <w:t>a consequence of health equity includes</w:t>
      </w:r>
      <w:r>
        <w:rPr>
          <w:b w:val="0"/>
          <w:i w:val="0"/>
          <w:smallCaps w:val="0"/>
          <w:strike w:val="0"/>
          <w:sz w:val="16"/>
          <w:u w:val="none"/>
        </w:rPr>
        <w:t xml:space="preserve"> </w:t>
      </w:r>
      <w:r>
        <w:rPr>
          <w:b/>
          <w:i w:val="0"/>
          <w:smallCaps w:val="0"/>
          <w:strike w:val="0"/>
          <w:sz w:val="22"/>
          <w:highlight w:val="yellow"/>
          <w:u w:val="single"/>
        </w:rPr>
        <w:t>increased multi-sector collaborations</w:t>
      </w:r>
      <w:r>
        <w:rPr>
          <w:b w:val="0"/>
          <w:i w:val="0"/>
          <w:smallCaps w:val="0"/>
          <w:strike w:val="0"/>
          <w:sz w:val="16"/>
          <w:u w:val="none"/>
        </w:rPr>
        <w:t xml:space="preserve"> </w:t>
      </w:r>
      <w:r>
        <w:rPr>
          <w:b w:val="0"/>
          <w:i w:val="0"/>
          <w:smallCaps w:val="0"/>
          <w:strike w:val="0"/>
          <w:sz w:val="22"/>
          <w:u w:val="single"/>
        </w:rPr>
        <w:t xml:space="preserve">and cross-sector networks and enhanced organizational, community, and individual capacity </w:t>
      </w:r>
      <w:r>
        <w:rPr>
          <w:b w:val="0"/>
          <w:i w:val="0"/>
          <w:smallCaps w:val="0"/>
          <w:strike w:val="0"/>
          <w:sz w:val="22"/>
          <w:highlight w:val="yellow"/>
          <w:u w:val="single"/>
        </w:rPr>
        <w:t>that enable healthy lives</w:t>
      </w:r>
      <w:r>
        <w:rPr>
          <w:b w:val="0"/>
          <w:i w:val="0"/>
          <w:smallCaps w:val="0"/>
          <w:strike w:val="0"/>
          <w:sz w:val="16"/>
          <w:u w:val="none"/>
        </w:rPr>
        <w:t xml:space="preserve"> </w:t>
      </w:r>
      <w:r>
        <w:rPr>
          <w:b w:val="0"/>
          <w:i w:val="0"/>
          <w:smallCaps w:val="0"/>
          <w:strike w:val="0"/>
          <w:sz w:val="16"/>
          <w:u w:val="none"/>
        </w:rPr>
        <w:t>( Adelson</w:t>
      </w:r>
      <w:r>
        <w:rPr>
          <w:b w:val="0"/>
          <w:i w:val="0"/>
          <w:smallCaps w:val="0"/>
          <w:strike w:val="0"/>
          <w:sz w:val="16"/>
          <w:u w:val="none"/>
        </w:rPr>
        <w:t xml:space="preserve"> et al., 2021 , Cole et al., 2023 , Gertel-Rosenberg et al., 2022 , John et al., 2021 , Srivastav et al., 2020 , Thimm-Kaiser et al., 2023 ). The second consequence of health equity, at the individual level, is health outcomes in which everyone achieves their highest health potential with </w:t>
      </w:r>
      <w:r>
        <w:rPr>
          <w:b w:val="0"/>
          <w:i w:val="0"/>
          <w:smallCaps w:val="0"/>
          <w:strike w:val="0"/>
          <w:sz w:val="22"/>
          <w:highlight w:val="yellow"/>
          <w:u w:val="single"/>
        </w:rPr>
        <w:t>reduced morbidities, mortalities, disease burden, decreased disease incidence and prevalence, and a better quality of life</w:t>
      </w:r>
      <w:r>
        <w:rPr>
          <w:b w:val="0"/>
          <w:i w:val="0"/>
          <w:smallCaps w:val="0"/>
          <w:strike w:val="0"/>
          <w:sz w:val="16"/>
          <w:u w:val="none"/>
        </w:rPr>
        <w:t xml:space="preserve">. </w:t>
      </w:r>
      <w:r>
        <w:rPr>
          <w:b w:val="0"/>
          <w:i w:val="0"/>
          <w:smallCaps w:val="0"/>
          <w:strike w:val="0"/>
          <w:sz w:val="22"/>
          <w:u w:val="single"/>
        </w:rPr>
        <w:t>Specifically, a person’s physical, cognitive, and psychological abilities are maximized</w:t>
      </w:r>
      <w:r>
        <w:rPr>
          <w:b w:val="0"/>
          <w:i w:val="0"/>
          <w:smallCaps w:val="0"/>
          <w:strike w:val="0"/>
          <w:sz w:val="16"/>
          <w:u w:val="none"/>
        </w:rPr>
        <w:t xml:space="preserve"> </w:t>
      </w:r>
      <w:r>
        <w:rPr>
          <w:b w:val="0"/>
          <w:i w:val="0"/>
          <w:smallCaps w:val="0"/>
          <w:strike w:val="0"/>
          <w:sz w:val="16"/>
          <w:u w:val="none"/>
        </w:rPr>
        <w:t>( Peterson</w:t>
      </w:r>
      <w:r>
        <w:rPr>
          <w:b w:val="0"/>
          <w:i w:val="0"/>
          <w:smallCaps w:val="0"/>
          <w:strike w:val="0"/>
          <w:sz w:val="16"/>
          <w:u w:val="none"/>
        </w:rPr>
        <w:t xml:space="preserve"> et al., 2021 , Srivastav et al., 2020 ). The third consequence is </w:t>
      </w:r>
      <w:r>
        <w:rPr>
          <w:b/>
          <w:i w:val="0"/>
          <w:smallCaps w:val="0"/>
          <w:strike w:val="0"/>
          <w:sz w:val="22"/>
          <w:highlight w:val="yellow"/>
          <w:u w:val="single"/>
        </w:rPr>
        <w:t>the cost-saving in U.S. healthcare</w:t>
      </w:r>
      <w:r>
        <w:rPr>
          <w:b w:val="0"/>
          <w:i w:val="0"/>
          <w:smallCaps w:val="0"/>
          <w:strike w:val="0"/>
          <w:sz w:val="16"/>
          <w:u w:val="none"/>
        </w:rPr>
        <w:t xml:space="preserve"> expenditure, </w:t>
      </w:r>
      <w:r>
        <w:rPr>
          <w:b w:val="0"/>
          <w:i w:val="0"/>
          <w:smallCaps w:val="0"/>
          <w:strike w:val="0"/>
          <w:sz w:val="22"/>
          <w:u w:val="single"/>
        </w:rPr>
        <w:t>including the use of current and evolving technology</w:t>
      </w:r>
      <w:r>
        <w:rPr>
          <w:b w:val="0"/>
          <w:i w:val="0"/>
          <w:smallCaps w:val="0"/>
          <w:strike w:val="0"/>
          <w:sz w:val="16"/>
          <w:u w:val="none"/>
        </w:rPr>
        <w:t xml:space="preserve"> </w:t>
      </w:r>
      <w:r>
        <w:rPr>
          <w:b w:val="0"/>
          <w:i w:val="0"/>
          <w:smallCaps w:val="0"/>
          <w:strike w:val="0"/>
          <w:sz w:val="16"/>
          <w:u w:val="none"/>
        </w:rPr>
        <w:t>( Carr</w:t>
      </w:r>
      <w:r>
        <w:rPr>
          <w:b w:val="0"/>
          <w:i w:val="0"/>
          <w:smallCaps w:val="0"/>
          <w:strike w:val="0"/>
          <w:sz w:val="16"/>
          <w:u w:val="none"/>
        </w:rPr>
        <w:t xml:space="preserve"> et al., 2020 , Epstein, 2022 , Kang and Barcelona, 2022 , Sieck et al., 2022 , Szymczak et al., 2023 ). </w:t>
      </w:r>
      <w:r>
        <w:rPr>
          <w:b w:val="0"/>
          <w:i w:val="0"/>
          <w:smallCaps w:val="0"/>
          <w:strike w:val="0"/>
          <w:sz w:val="22"/>
          <w:u w:val="single"/>
        </w:rPr>
        <w:t xml:space="preserve">The last consequence is </w:t>
      </w:r>
      <w:r>
        <w:rPr>
          <w:b w:val="0"/>
          <w:i w:val="0"/>
          <w:smallCaps w:val="0"/>
          <w:strike w:val="0"/>
          <w:sz w:val="22"/>
          <w:highlight w:val="yellow"/>
          <w:u w:val="single"/>
        </w:rPr>
        <w:t>health equity-focused research</w:t>
      </w:r>
      <w:r>
        <w:rPr>
          <w:b w:val="0"/>
          <w:i w:val="0"/>
          <w:smallCaps w:val="0"/>
          <w:strike w:val="0"/>
          <w:sz w:val="22"/>
          <w:u w:val="single"/>
        </w:rPr>
        <w:t xml:space="preserve">, which has become visibly prominent with (a) expanding and </w:t>
      </w:r>
      <w:r>
        <w:rPr>
          <w:b w:val="0"/>
          <w:i w:val="0"/>
          <w:smallCaps w:val="0"/>
          <w:strike w:val="0"/>
          <w:sz w:val="22"/>
          <w:highlight w:val="yellow"/>
          <w:u w:val="single"/>
        </w:rPr>
        <w:t>improv</w:t>
      </w:r>
      <w:r>
        <w:rPr>
          <w:b w:val="0"/>
          <w:i w:val="0"/>
          <w:smallCaps w:val="0"/>
          <w:strike w:val="0"/>
          <w:sz w:val="22"/>
          <w:u w:val="single"/>
        </w:rPr>
        <w:t xml:space="preserve">ing </w:t>
      </w:r>
      <w:r>
        <w:rPr>
          <w:b w:val="0"/>
          <w:i w:val="0"/>
          <w:smallCaps w:val="0"/>
          <w:strike w:val="0"/>
          <w:sz w:val="22"/>
          <w:highlight w:val="yellow"/>
          <w:u w:val="single"/>
        </w:rPr>
        <w:t>race and ethnicity data collection</w:t>
      </w:r>
      <w:r>
        <w:rPr>
          <w:b w:val="0"/>
          <w:i w:val="0"/>
          <w:smallCaps w:val="0"/>
          <w:strike w:val="0"/>
          <w:sz w:val="16"/>
          <w:u w:val="none"/>
        </w:rPr>
        <w:t xml:space="preserve"> ( Cash-Gibson et al., 2020 , Kang and Barcelona, 2022 , Wasserman et al., 2019 ), (b) </w:t>
      </w:r>
      <w:r>
        <w:rPr>
          <w:b w:val="0"/>
          <w:i w:val="0"/>
          <w:smallCaps w:val="0"/>
          <w:strike w:val="0"/>
          <w:sz w:val="22"/>
          <w:highlight w:val="yellow"/>
          <w:u w:val="single"/>
        </w:rPr>
        <w:t>increasing clinical trial participation</w:t>
      </w:r>
      <w:r>
        <w:rPr>
          <w:b w:val="0"/>
          <w:i w:val="0"/>
          <w:smallCaps w:val="0"/>
          <w:strike w:val="0"/>
          <w:sz w:val="22"/>
          <w:u w:val="single"/>
        </w:rPr>
        <w:t xml:space="preserve">, and </w:t>
      </w:r>
      <w:r>
        <w:rPr>
          <w:b w:val="0"/>
          <w:i w:val="0"/>
          <w:smallCaps w:val="0"/>
          <w:strike w:val="0"/>
          <w:sz w:val="22"/>
          <w:highlight w:val="yellow"/>
          <w:u w:val="single"/>
        </w:rPr>
        <w:t>racially and ethnically minoritized participant engagement in collaborative research to adequately reflect their current state and disease burden</w:t>
      </w:r>
      <w:r>
        <w:rPr>
          <w:b w:val="0"/>
          <w:i w:val="0"/>
          <w:smallCaps w:val="0"/>
          <w:strike w:val="0"/>
          <w:sz w:val="16"/>
          <w:u w:val="none"/>
        </w:rPr>
        <w:t xml:space="preserve"> ( Brownson et al., 2021 , Cash-Gibson et al., 2020 , Diallo et al., 2022 , Lennon et al., 2022 , Milburn et al., 2019 ), </w:t>
      </w:r>
      <w:r>
        <w:rPr>
          <w:b w:val="0"/>
          <w:i w:val="0"/>
          <w:smallCaps w:val="0"/>
          <w:strike w:val="0"/>
          <w:sz w:val="22"/>
          <w:u w:val="single"/>
        </w:rPr>
        <w:t>and (c</w:t>
      </w:r>
      <w:r>
        <w:rPr>
          <w:b w:val="0"/>
          <w:i w:val="0"/>
          <w:smallCaps w:val="0"/>
          <w:strike w:val="0"/>
          <w:sz w:val="22"/>
          <w:highlight w:val="yellow"/>
          <w:u w:val="single"/>
        </w:rPr>
        <w:t>) advancing medical and scientific knowledge available for all to reduce health disparities</w:t>
      </w:r>
      <w:r>
        <w:rPr>
          <w:b w:val="0"/>
          <w:i w:val="0"/>
          <w:smallCaps w:val="0"/>
          <w:strike w:val="0"/>
          <w:sz w:val="16"/>
          <w:u w:val="none"/>
        </w:rPr>
        <w:t xml:space="preserve"> ( Churchwell et al., 2020 , Gee and Ford, 2011 , Jackson and Sadler, 2022 ).</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