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Anti-Waivers is literally in Project 2025! This is an immediate neg vote.</w:t>
      </w:r>
    </w:p>
    <w:p>
      <w:pPr>
        <w:spacing w:after="80"/>
      </w:pPr>
      <w:r>
        <w:rPr>
          <w:b w:val="0"/>
          <w:i w:val="0"/>
          <w:smallCaps w:val="0"/>
          <w:strike w:val="0"/>
          <w:color w:val="000000"/>
          <w:u w:val="none"/>
        </w:rPr>
        <w:t xml:space="preserve">Kiron </w:t>
      </w:r>
      <w:r>
        <w:rPr>
          <w:b w:val="0"/>
          <w:i w:val="0"/>
          <w:smallCaps w:val="0"/>
          <w:strike w:val="0"/>
          <w:color w:val="000000"/>
          <w:sz w:val="26"/>
          <w:u w:val="none"/>
        </w:rPr>
        <w:t>Skinner</w:t>
      </w:r>
      <w:r>
        <w:rPr>
          <w:b w:val="0"/>
          <w:i w:val="0"/>
          <w:smallCaps w:val="0"/>
          <w:strike w:val="0"/>
          <w:color w:val="000000"/>
          <w:u w:val="none"/>
        </w:rPr>
        <w:t>, April 23, 20</w:t>
      </w:r>
      <w:r>
        <w:rPr>
          <w:b w:val="0"/>
          <w:i w:val="0"/>
          <w:smallCaps w:val="0"/>
          <w:strike w:val="0"/>
          <w:color w:val="000000"/>
          <w:sz w:val="26"/>
          <w:u w:val="none"/>
        </w:rPr>
        <w:t xml:space="preserve">23 (International relations, US foreign policy, and political strategy expert Kiron Skinner is the Taube Professor of International Relations and Politics at Pepperdine School of Public Policy. Skinner previously served as the Taube Professor for International Relations and Politics at Carnegie Mellon University's Institute for Politics and Strategy and was a faculty member in the Department of History and the Department of Social and Decision Sciences (SDS) at the university's Dietrich College of Humanities and Social Sciences. At Carnegie she also directed the Center for International Relations and Politics and the Carnegie Mellon University Washington Semester Program. Skinner continues to serve as the W. Glenn Campbell Research Fellow at the Hoover Institution at Stanford University, “Project 2025,” The Heritage Foundation, April 23, 2023, </w:t>
      </w:r>
      <w:r>
        <w:rPr>
          <w:b w:val="0"/>
          <w:i w:val="0"/>
          <w:smallCaps w:val="0"/>
          <w:strike w:val="0"/>
          <w:color w:val="000000"/>
          <w:sz w:val="26"/>
          <w:u w:val="none"/>
        </w:rPr>
        <w:t>) //AI-VB</w:t>
      </w:r>
    </w:p>
    <w:p>
      <w:pPr>
        <w:spacing w:after="60"/>
      </w:pPr>
      <w:r>
        <w:rPr>
          <w:b w:val="0"/>
          <w:i w:val="0"/>
          <w:smallCaps w:val="0"/>
          <w:strike w:val="0"/>
          <w:color w:val="000000"/>
          <w:sz w:val="14"/>
          <w:u w:val="none"/>
        </w:rPr>
        <w:t>U.S. PATENT AND TRADEMARK OFFICE The U.S. Patent and Trademark Office carries out a core constitutional mandate from Section 8, Article 1: “The Congress shall have Power...[t]o promote the Progress of Science and useful Arts, by securing for limited Times to Authors and Inventors the exclusive Right to their respective Writings and Discoveries.” Strong intellectual property (IP) protections form the bedrock of American business and are a key factor in making the U.S. economy the most innovative in the world. As such, a conservative Administration must constantly work to strengthen IP rights and combat the incorrect view that strong IP rights somehow limit innovation. Political leadership in a new conservative Administration should: l Support like-minded countries as candidates for leadership in the World Intellectual Property Organization and build strong relationships with international partners to strengthen intellectual property rights. l Re-examine patent eligibility requirements in Section 101 of the Patent Act7 and support internal and/or legislative reforms to enable U.S. leadership in critical and emerging technologies such as quantum computing, 5G, and artificial intelligence</w:t>
      </w:r>
      <w:r>
        <w:rPr>
          <w:b/>
          <w:i w:val="0"/>
          <w:smallCaps w:val="0"/>
          <w:strike w:val="0"/>
          <w:color w:val="000000"/>
          <w:u w:val="single"/>
        </w:rPr>
        <w:t>.</w:t>
      </w:r>
      <w:r>
        <w:rPr>
          <w:b w:val="0"/>
          <w:i w:val="0"/>
          <w:smallCaps w:val="0"/>
          <w:strike w:val="0"/>
          <w:color w:val="000000"/>
          <w:sz w:val="14"/>
          <w:u w:val="none"/>
        </w:rPr>
        <w:t xml:space="preserve"> l Take a balanced approach to the Patent Trial and Appeal Board and prioritize rapid and transparent processing of applications and appeals. l Work with Administration partners and Congress to find and punish trademark infringers and counterfeiters. l </w:t>
      </w:r>
      <w:r>
        <w:rPr>
          <w:b/>
          <w:i w:val="0"/>
          <w:smallCaps w:val="0"/>
          <w:strike w:val="0"/>
          <w:color w:val="000000"/>
          <w:highlight w:val="cyan"/>
          <w:u w:val="single"/>
        </w:rPr>
        <w:t>Oppose efforts to provide intellectual property waivers for cutting-edge technologies, including for COVID-19 vaccines and therapeutics, through the World Trade Organization’s Trade-Related Aspects of Intellectual Property Rights agreement or any other mechanism.</w:t>
      </w:r>
    </w:p>
    <w:p>
      <w:pPr>
        <w:pStyle w:val="Caption"/>
      </w:pPr>
      <w:r>
        <w:t>Source: Miscellaneous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