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 law is a contingent response to specific historical circumstances- </w:t>
      </w:r>
      <w:r>
        <w:rPr>
          <w:b/>
          <w:i w:val="0"/>
          <w:smallCaps w:val="0"/>
          <w:strike w:val="0"/>
          <w:sz w:val="26"/>
          <w:u w:val="none"/>
        </w:rPr>
        <w:t>its</w:t>
      </w:r>
      <w:r>
        <w:rPr>
          <w:b/>
          <w:i w:val="0"/>
          <w:smallCaps w:val="0"/>
          <w:strike w:val="0"/>
          <w:sz w:val="26"/>
          <w:u w:val="none"/>
        </w:rPr>
        <w:t xml:space="preserve"> not natural or inevitable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Mathew, JD/MPA, 21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>Sasha, 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feminist manifesto of resistance against intellectual property regimes: reclaiming the public domain as an open-access information commons, Critical African Studies, 13:1, 115-126, DOI: 10.1080/21681392.2021.1909881 )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</w:t>
      </w:r>
      <w:r>
        <w:rPr>
          <w:b w:val="0"/>
          <w:i w:val="0"/>
          <w:smallCaps w:val="0"/>
          <w:strike w:val="0"/>
          <w:sz w:val="22"/>
          <w:u w:val="single"/>
        </w:rPr>
        <w:t>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spills across borders, privatizing everything it meets,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relies upon the </w:t>
      </w:r>
      <w:r>
        <w:rPr>
          <w:b/>
          <w:i w:val="0"/>
          <w:smallCaps w:val="0"/>
          <w:strike w:val="0"/>
          <w:sz w:val="22"/>
          <w:u w:val="single"/>
        </w:rPr>
        <w:t>protective casing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law to smooth its course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intellectual property law regime itself has been expanding in reach, driven forward by the chariots of international trade.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Different knowledge systems have passed through the </w:t>
      </w:r>
      <w:r>
        <w:rPr>
          <w:b/>
          <w:i w:val="0"/>
          <w:smallCaps w:val="0"/>
          <w:strike w:val="0"/>
          <w:sz w:val="22"/>
          <w:u w:val="single"/>
        </w:rPr>
        <w:t>homogenizing mill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u w:val="single"/>
        </w:rPr>
        <w:t>stripped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</w:t>
      </w:r>
      <w:r>
        <w:rPr>
          <w:b w:val="0"/>
          <w:i w:val="0"/>
          <w:smallCaps w:val="0"/>
          <w:strike w:val="0"/>
          <w:sz w:val="22"/>
          <w:u w:val="single"/>
        </w:rPr>
        <w:t>cultural context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their </w:t>
      </w:r>
      <w:r>
        <w:rPr>
          <w:b w:val="0"/>
          <w:i w:val="0"/>
          <w:smallCaps w:val="0"/>
          <w:strike w:val="0"/>
          <w:sz w:val="22"/>
          <w:u w:val="single"/>
        </w:rPr>
        <w:t>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22"/>
          <w:u w:val="single"/>
        </w:rPr>
        <w:t>determined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 market exchange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mechanisms. Christopher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Clapham notes that the expansion of Europe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from the late 15th through 20th centuries, </w:t>
      </w:r>
      <w:r>
        <w:rPr>
          <w:b w:val="0"/>
          <w:i w:val="0"/>
          <w:smallCaps w:val="0"/>
          <w:strike w:val="0"/>
          <w:sz w:val="22"/>
          <w:u w:val="single"/>
        </w:rPr>
        <w:t>resulted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establishment of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global </w:t>
      </w:r>
      <w:r>
        <w:rPr>
          <w:b w:val="0"/>
          <w:i w:val="0"/>
          <w:smallCaps w:val="0"/>
          <w:strike w:val="0"/>
          <w:sz w:val="22"/>
          <w:u w:val="single"/>
        </w:rPr>
        <w:t>system marked not only by Eurocentric military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administrative and economic power, but by structures of knowledge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including written languages …educational systems, and conceptual apparatuses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as the </w:t>
      </w:r>
      <w:r>
        <w:rPr>
          <w:b/>
          <w:i w:val="0"/>
          <w:smallCaps w:val="0"/>
          <w:strike w:val="0"/>
          <w:sz w:val="22"/>
          <w:u w:val="single"/>
        </w:rPr>
        <w:t>infrastructure of modern science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themselves derive overwhelmingly from Europe’. (2020) The </w:t>
      </w:r>
      <w:r>
        <w:rPr>
          <w:b/>
          <w:i w:val="0"/>
          <w:smallCaps w:val="0"/>
          <w:strike w:val="0"/>
          <w:sz w:val="22"/>
          <w:u w:val="single"/>
        </w:rPr>
        <w:t>universalist claims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egimes </w:t>
      </w:r>
      <w:r>
        <w:rPr>
          <w:b w:val="0"/>
          <w:i w:val="0"/>
          <w:smallCaps w:val="0"/>
          <w:strike w:val="0"/>
          <w:sz w:val="22"/>
          <w:u w:val="single"/>
        </w:rPr>
        <w:t>are thus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problematic: as they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steadily </w:t>
      </w:r>
      <w:r>
        <w:rPr>
          <w:b w:val="0"/>
          <w:i w:val="0"/>
          <w:smallCaps w:val="0"/>
          <w:strike w:val="0"/>
          <w:sz w:val="22"/>
          <w:u w:val="single"/>
        </w:rPr>
        <w:t>advance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expanding the frontiers of knowledge commodification, </w:t>
      </w:r>
      <w:r>
        <w:rPr>
          <w:b w:val="0"/>
          <w:i w:val="0"/>
          <w:smallCaps w:val="0"/>
          <w:strike w:val="0"/>
          <w:sz w:val="22"/>
          <w:u w:val="single"/>
        </w:rPr>
        <w:t>it is useful to remember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as a legal regime </w:t>
      </w:r>
      <w:r>
        <w:rPr>
          <w:b w:val="0"/>
          <w:i w:val="0"/>
          <w:smallCaps w:val="0"/>
          <w:strike w:val="0"/>
          <w:sz w:val="22"/>
          <w:u w:val="single"/>
        </w:rPr>
        <w:t>mediates politics and economics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(Grewal, Kapczynski, and Purdy 2017),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transforming political hierarchies into economic value and presenting them as </w:t>
      </w:r>
      <w:r>
        <w:rPr>
          <w:b/>
          <w:i w:val="0"/>
          <w:smallCaps w:val="0"/>
          <w:strike w:val="0"/>
          <w:sz w:val="22"/>
          <w:u w:val="single"/>
        </w:rPr>
        <w:t>neutral, objective and ahistorical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egimes also </w:t>
      </w:r>
      <w:r>
        <w:rPr>
          <w:b w:val="0"/>
          <w:i w:val="0"/>
          <w:smallCaps w:val="0"/>
          <w:strike w:val="0"/>
          <w:sz w:val="22"/>
          <w:u w:val="single"/>
        </w:rPr>
        <w:t>illustrate how capitalism privileges efficiency over distributional claims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(Chander and Sunder 2004). This paper begins by surveying recent scholarship that argues that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a highly contingent, historically specific legal relationship, and by </w:t>
      </w:r>
      <w:r>
        <w:rPr>
          <w:b/>
          <w:i w:val="0"/>
          <w:smallCaps w:val="0"/>
          <w:strike w:val="0"/>
          <w:sz w:val="22"/>
          <w:u w:val="single"/>
        </w:rPr>
        <w:t>no means natural or given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particular legal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framework that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embodies is drawn from a patriarchal, Anglo-Saxon tradition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in many ways was a predecessor of modern Western capitalism. An intersectional critique of the institution of intellectual property law follows– which is the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aim of this paper. Following extant critical scholarship,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law </w:t>
      </w:r>
      <w:r>
        <w:rPr>
          <w:b w:val="0"/>
          <w:i w:val="0"/>
          <w:smallCaps w:val="0"/>
          <w:strike w:val="0"/>
          <w:sz w:val="22"/>
          <w:u w:val="single"/>
        </w:rPr>
        <w:t>is named as a system of oppression and its gendered, racist, imperialist assumptions are exposed</w:t>
      </w:r>
      <w:r>
        <w:rPr>
          <w:b w:val="0"/>
          <w:i w:val="0"/>
          <w:smallCaps w:val="0"/>
          <w:strike w:val="0"/>
          <w:sz w:val="16"/>
          <w:u w:val="none"/>
        </w:rPr>
        <w:t>. I attempt to show that its vectors of power are systemic rather than individualistic; and address how it facilitates multiple, interlocking exclusions. The second aim of this paper is to build a normative argument for the revitalization of the public domain as a feminist decolonial enterprise. I conclude with a manifesto against contemporary enclosure movements and the privatization of the public domain.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