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Great-power support creates </w:t>
      </w:r>
      <w:r>
        <w:rPr>
          <w:b/>
          <w:i w:val="0"/>
          <w:smallCaps w:val="0"/>
          <w:strike w:val="0"/>
          <w:sz w:val="26"/>
          <w:u w:val="single"/>
        </w:rPr>
        <w:t>international pressures</w:t>
      </w:r>
      <w:r>
        <w:rPr>
          <w:b/>
          <w:i w:val="0"/>
          <w:smallCaps w:val="0"/>
          <w:strike w:val="0"/>
          <w:sz w:val="26"/>
          <w:u w:val="none"/>
        </w:rPr>
        <w:t xml:space="preserve"> for follow-on. </w:t>
      </w:r>
      <w:r>
        <w:rPr>
          <w:b/>
          <w:i w:val="0"/>
          <w:smallCaps w:val="0"/>
          <w:strike w:val="0"/>
          <w:sz w:val="26"/>
          <w:u w:val="single"/>
        </w:rPr>
        <w:t>Empirically</w:t>
      </w:r>
      <w:r>
        <w:rPr>
          <w:b/>
          <w:i w:val="0"/>
          <w:smallCaps w:val="0"/>
          <w:strike w:val="0"/>
          <w:sz w:val="26"/>
          <w:u w:val="none"/>
        </w:rPr>
        <w:t xml:space="preserve"> spills up.</w:t>
      </w:r>
    </w:p>
    <w:p>
      <w:pPr>
        <w:spacing w:after="80"/>
      </w:pPr>
      <w:r>
        <w:rPr>
          <w:b/>
          <w:i w:val="0"/>
          <w:smallCaps w:val="0"/>
          <w:strike w:val="0"/>
          <w:sz w:val="26"/>
          <w:u w:val="none"/>
        </w:rPr>
        <w:t>Yu 15</w:t>
      </w:r>
      <w:r>
        <w:rPr>
          <w:b w:val="0"/>
          <w:i w:val="0"/>
          <w:smallCaps w:val="0"/>
          <w:strike w:val="0"/>
          <w:u w:val="none"/>
        </w:rPr>
        <w:t xml:space="preserve"> (Peter K. Yu, Kern Family Chair in Intellectual Property Law, founding director of the Intellectual Property Law Center, Drake University Law School, citing Daniel </w:t>
      </w:r>
      <w:r>
        <w:rPr>
          <w:b w:val="0"/>
          <w:i w:val="0"/>
          <w:smallCaps w:val="0"/>
          <w:strike w:val="0"/>
          <w:u w:val="none"/>
        </w:rPr>
        <w:t>Drezner</w:t>
      </w:r>
      <w:r>
        <w:rPr>
          <w:b w:val="0"/>
          <w:i w:val="0"/>
          <w:smallCaps w:val="0"/>
          <w:strike w:val="0"/>
          <w:u w:val="none"/>
        </w:rPr>
        <w:t xml:space="preserve">, Distinguished Professor of International Politics at Tufts University; "The Non-multilateral Approach to International Intellectual Property </w:t>
      </w:r>
      <w:r>
        <w:rPr>
          <w:b w:val="0"/>
          <w:i w:val="0"/>
          <w:smallCaps w:val="0"/>
          <w:strike w:val="0"/>
          <w:u w:val="none"/>
        </w:rPr>
        <w:t>Normsetting</w:t>
      </w:r>
      <w:r>
        <w:rPr>
          <w:b w:val="0"/>
          <w:i w:val="0"/>
          <w:smallCaps w:val="0"/>
          <w:strike w:val="0"/>
          <w:u w:val="none"/>
        </w:rPr>
        <w:t xml:space="preserve">", in </w:t>
      </w:r>
      <w:r>
        <w:rPr>
          <w:b w:val="0"/>
          <w:i/>
          <w:smallCaps w:val="0"/>
          <w:strike w:val="0"/>
          <w:u w:val="none"/>
        </w:rPr>
        <w:t>International Intellectual Property: A Handbook of Contemporary Research</w:t>
      </w:r>
      <w:r>
        <w:rPr>
          <w:b w:val="0"/>
          <w:i w:val="0"/>
          <w:smallCaps w:val="0"/>
          <w:strike w:val="0"/>
          <w:u w:val="none"/>
        </w:rPr>
        <w:t xml:space="preserve">, p. 83-120, January 2015, Texas A&amp;M Law Scholarship, https://scholarship.law.tamu.edu/facscholar/1009/, DOA: 6-28-2024)//ATJ </w:t>
      </w:r>
    </w:p>
    <w:p>
      <w:pPr>
        <w:spacing w:after="60"/>
      </w:pPr>
      <w:r>
        <w:rPr>
          <w:b w:val="0"/>
          <w:i w:val="0"/>
          <w:smallCaps w:val="0"/>
          <w:strike w:val="0"/>
          <w:sz w:val="16"/>
          <w:u w:val="none"/>
        </w:rPr>
        <w:t xml:space="preserve">According to Professor </w:t>
      </w:r>
      <w:r>
        <w:rPr>
          <w:b w:val="0"/>
          <w:i w:val="0"/>
          <w:smallCaps w:val="0"/>
          <w:strike w:val="0"/>
          <w:sz w:val="16"/>
          <w:u w:val="none"/>
        </w:rPr>
        <w:t>Drezner</w:t>
      </w:r>
      <w:r>
        <w:rPr>
          <w:b w:val="0"/>
          <w:i w:val="0"/>
          <w:smallCaps w:val="0"/>
          <w:strike w:val="0"/>
          <w:sz w:val="16"/>
          <w:u w:val="none"/>
        </w:rPr>
        <w:t>, club standards tend to emerge when adjustment costs are low for great powers but high for the rest of the world. As he explained:</w:t>
      </w:r>
    </w:p>
    <w:p>
      <w:pPr>
        <w:spacing w:after="60"/>
      </w:pPr>
      <w:r>
        <w:rPr>
          <w:b w:val="0"/>
          <w:i w:val="0"/>
          <w:smallCaps w:val="0"/>
          <w:strike w:val="0"/>
          <w:sz w:val="16"/>
          <w:u w:val="none"/>
        </w:rPr>
        <w:t xml:space="preserve">[a] great power concert will generate enough market power to lock in the concert’s preferred set of regulatory standards. </w:t>
      </w:r>
      <w:r>
        <w:rPr>
          <w:b w:val="0"/>
          <w:i w:val="0"/>
          <w:smallCaps w:val="0"/>
          <w:strike w:val="0"/>
          <w:sz w:val="22"/>
          <w:u w:val="single"/>
        </w:rPr>
        <w:t xml:space="preserve">The combined market size of </w:t>
      </w:r>
      <w:r>
        <w:rPr>
          <w:b w:val="0"/>
          <w:i w:val="0"/>
          <w:smallCaps w:val="0"/>
          <w:strike w:val="0"/>
          <w:sz w:val="22"/>
          <w:highlight w:val="cyan"/>
          <w:u w:val="single"/>
        </w:rPr>
        <w:t>a</w:t>
      </w:r>
      <w:r>
        <w:rPr>
          <w:b w:val="0"/>
          <w:i w:val="0"/>
          <w:smallCaps w:val="0"/>
          <w:strike w:val="0"/>
          <w:sz w:val="22"/>
          <w:u w:val="single"/>
        </w:rPr>
        <w:t xml:space="preserve"> </w:t>
      </w:r>
      <w:r>
        <w:rPr>
          <w:b/>
          <w:i w:val="0"/>
          <w:smallCaps w:val="0"/>
          <w:strike w:val="0"/>
          <w:sz w:val="24"/>
          <w:highlight w:val="cyan"/>
          <w:u w:val="single"/>
        </w:rPr>
        <w:t>great power concert</w:t>
      </w:r>
      <w:r>
        <w:rPr>
          <w:b w:val="0"/>
          <w:i w:val="0"/>
          <w:smallCaps w:val="0"/>
          <w:strike w:val="0"/>
          <w:sz w:val="22"/>
          <w:u w:val="single"/>
        </w:rPr>
        <w:t xml:space="preserve"> </w:t>
      </w:r>
      <w:r>
        <w:rPr>
          <w:b w:val="0"/>
          <w:i w:val="0"/>
          <w:smallCaps w:val="0"/>
          <w:strike w:val="0"/>
          <w:sz w:val="22"/>
          <w:highlight w:val="cyan"/>
          <w:u w:val="single"/>
        </w:rPr>
        <w:t>will induce</w:t>
      </w:r>
      <w:r>
        <w:rPr>
          <w:b w:val="0"/>
          <w:i w:val="0"/>
          <w:smallCaps w:val="0"/>
          <w:strike w:val="0"/>
          <w:sz w:val="22"/>
          <w:u w:val="single"/>
        </w:rPr>
        <w:t xml:space="preserve"> </w:t>
      </w:r>
      <w:r>
        <w:rPr>
          <w:b/>
          <w:i w:val="0"/>
          <w:smallCaps w:val="0"/>
          <w:strike w:val="0"/>
          <w:sz w:val="24"/>
          <w:highlight w:val="cyan"/>
          <w:u w:val="single"/>
        </w:rPr>
        <w:t>most</w:t>
      </w:r>
      <w:r>
        <w:rPr>
          <w:b w:val="0"/>
          <w:i w:val="0"/>
          <w:smallCaps w:val="0"/>
          <w:strike w:val="0"/>
          <w:sz w:val="22"/>
          <w:u w:val="single"/>
        </w:rPr>
        <w:t xml:space="preserve"> recalcitrant </w:t>
      </w:r>
      <w:r>
        <w:rPr>
          <w:b w:val="0"/>
          <w:i w:val="0"/>
          <w:smallCaps w:val="0"/>
          <w:strike w:val="0"/>
          <w:sz w:val="22"/>
          <w:highlight w:val="cyan"/>
          <w:u w:val="single"/>
        </w:rPr>
        <w:t>states into shifting</w:t>
      </w:r>
      <w:r>
        <w:rPr>
          <w:b w:val="0"/>
          <w:i w:val="0"/>
          <w:smallCaps w:val="0"/>
          <w:strike w:val="0"/>
          <w:sz w:val="22"/>
          <w:u w:val="single"/>
        </w:rPr>
        <w:t xml:space="preserve"> their </w:t>
      </w:r>
      <w:r>
        <w:rPr>
          <w:b w:val="0"/>
          <w:i w:val="0"/>
          <w:smallCaps w:val="0"/>
          <w:strike w:val="0"/>
          <w:sz w:val="22"/>
          <w:highlight w:val="cyan"/>
          <w:u w:val="single"/>
        </w:rPr>
        <w:t>standards.</w:t>
      </w:r>
      <w:r>
        <w:rPr>
          <w:b w:val="0"/>
          <w:i w:val="0"/>
          <w:smallCaps w:val="0"/>
          <w:strike w:val="0"/>
          <w:sz w:val="16"/>
          <w:u w:val="none"/>
        </w:rPr>
        <w:t xml:space="preserve"> However, </w:t>
      </w:r>
      <w:r>
        <w:rPr>
          <w:b w:val="0"/>
          <w:i w:val="0"/>
          <w:smallCaps w:val="0"/>
          <w:strike w:val="0"/>
          <w:sz w:val="22"/>
          <w:highlight w:val="cyan"/>
          <w:u w:val="single"/>
        </w:rPr>
        <w:t>states with</w:t>
      </w:r>
      <w:r>
        <w:rPr>
          <w:b w:val="0"/>
          <w:i w:val="0"/>
          <w:smallCaps w:val="0"/>
          <w:strike w:val="0"/>
          <w:sz w:val="22"/>
          <w:u w:val="single"/>
        </w:rPr>
        <w:t xml:space="preserve"> </w:t>
      </w:r>
      <w:r>
        <w:rPr>
          <w:b/>
          <w:i w:val="0"/>
          <w:smallCaps w:val="0"/>
          <w:strike w:val="0"/>
          <w:sz w:val="24"/>
          <w:highlight w:val="cyan"/>
          <w:u w:val="single"/>
        </w:rPr>
        <w:t>severe adjustment costs</w:t>
      </w:r>
      <w:r>
        <w:rPr>
          <w:b w:val="0"/>
          <w:i w:val="0"/>
          <w:smallCaps w:val="0"/>
          <w:strike w:val="0"/>
          <w:sz w:val="22"/>
          <w:u w:val="single"/>
        </w:rPr>
        <w:t xml:space="preserve"> </w:t>
      </w:r>
      <w:r>
        <w:rPr>
          <w:b w:val="0"/>
          <w:i w:val="0"/>
          <w:smallCaps w:val="0"/>
          <w:strike w:val="0"/>
          <w:sz w:val="22"/>
          <w:highlight w:val="cyan"/>
          <w:u w:val="single"/>
        </w:rPr>
        <w:t>will still resist</w:t>
      </w:r>
      <w:r>
        <w:rPr>
          <w:b w:val="0"/>
          <w:i w:val="0"/>
          <w:smallCaps w:val="0"/>
          <w:strike w:val="0"/>
          <w:sz w:val="22"/>
          <w:u w:val="single"/>
        </w:rPr>
        <w:t>, and the Prisoner’s Dilemma aspect of enforcement can tempt some governments into noncompliance;</w:t>
      </w:r>
      <w:r>
        <w:rPr>
          <w:b w:val="0"/>
          <w:i w:val="0"/>
          <w:smallCaps w:val="0"/>
          <w:strike w:val="0"/>
          <w:sz w:val="16"/>
          <w:u w:val="none"/>
        </w:rPr>
        <w:t xml:space="preserve"> under this constellation of interests, the enforcement of standards becomes an issue. </w:t>
      </w:r>
      <w:r>
        <w:rPr>
          <w:b w:val="0"/>
          <w:i w:val="0"/>
          <w:smallCaps w:val="0"/>
          <w:strike w:val="0"/>
          <w:sz w:val="22"/>
          <w:highlight w:val="cyan"/>
          <w:u w:val="single"/>
        </w:rPr>
        <w:t xml:space="preserve">The </w:t>
      </w:r>
      <w:r>
        <w:rPr>
          <w:b/>
          <w:i w:val="0"/>
          <w:smallCaps w:val="0"/>
          <w:strike w:val="0"/>
          <w:sz w:val="24"/>
          <w:highlight w:val="cyan"/>
          <w:u w:val="single"/>
        </w:rPr>
        <w:t>crucial step</w:t>
      </w:r>
      <w:r>
        <w:rPr>
          <w:b w:val="0"/>
          <w:i w:val="0"/>
          <w:smallCaps w:val="0"/>
          <w:strike w:val="0"/>
          <w:sz w:val="22"/>
          <w:highlight w:val="cyan"/>
          <w:u w:val="single"/>
        </w:rPr>
        <w:t xml:space="preserve"> for coordination</w:t>
      </w:r>
      <w:r>
        <w:rPr>
          <w:b w:val="0"/>
          <w:i w:val="0"/>
          <w:smallCaps w:val="0"/>
          <w:strike w:val="0"/>
          <w:sz w:val="22"/>
          <w:u w:val="single"/>
        </w:rPr>
        <w:t xml:space="preserve"> to take place </w:t>
      </w:r>
      <w:r>
        <w:rPr>
          <w:b w:val="0"/>
          <w:i w:val="0"/>
          <w:smallCaps w:val="0"/>
          <w:strike w:val="0"/>
          <w:sz w:val="22"/>
          <w:highlight w:val="cyan"/>
          <w:u w:val="single"/>
        </w:rPr>
        <w:t>is a coalition of</w:t>
      </w:r>
      <w:r>
        <w:rPr>
          <w:b w:val="0"/>
          <w:i w:val="0"/>
          <w:smallCaps w:val="0"/>
          <w:strike w:val="0"/>
          <w:sz w:val="22"/>
          <w:u w:val="single"/>
        </w:rPr>
        <w:t xml:space="preserve"> the </w:t>
      </w:r>
      <w:r>
        <w:rPr>
          <w:b w:val="0"/>
          <w:i w:val="0"/>
          <w:smallCaps w:val="0"/>
          <w:strike w:val="0"/>
          <w:sz w:val="22"/>
          <w:highlight w:val="cyan"/>
          <w:u w:val="single"/>
        </w:rPr>
        <w:t>willing</w:t>
      </w:r>
      <w:r>
        <w:rPr>
          <w:b w:val="0"/>
          <w:i w:val="0"/>
          <w:smallCaps w:val="0"/>
          <w:strike w:val="0"/>
          <w:sz w:val="22"/>
          <w:u w:val="single"/>
        </w:rPr>
        <w:t xml:space="preserve"> among the </w:t>
      </w:r>
      <w:r>
        <w:rPr>
          <w:b/>
          <w:i w:val="0"/>
          <w:smallCaps w:val="0"/>
          <w:strike w:val="0"/>
          <w:sz w:val="24"/>
          <w:highlight w:val="cyan"/>
          <w:u w:val="single"/>
        </w:rPr>
        <w:t>greater powers</w:t>
      </w:r>
      <w:r>
        <w:rPr>
          <w:b w:val="0"/>
          <w:i w:val="0"/>
          <w:smallCaps w:val="0"/>
          <w:strike w:val="0"/>
          <w:sz w:val="22"/>
          <w:highlight w:val="cyan"/>
          <w:u w:val="single"/>
        </w:rPr>
        <w:t>.</w:t>
      </w:r>
      <w:r>
        <w:rPr>
          <w:b w:val="0"/>
          <w:i w:val="0"/>
          <w:smallCaps w:val="0"/>
          <w:strike w:val="0"/>
          <w:sz w:val="16"/>
          <w:u w:val="none"/>
        </w:rPr>
        <w:t>69</w:t>
      </w:r>
    </w:p>
    <w:p>
      <w:pPr>
        <w:spacing w:after="60"/>
      </w:pPr>
      <w:r>
        <w:rPr>
          <w:b w:val="0"/>
          <w:i w:val="0"/>
          <w:smallCaps w:val="0"/>
          <w:strike w:val="0"/>
          <w:sz w:val="16"/>
          <w:u w:val="none"/>
        </w:rPr>
        <w:t xml:space="preserve">Although less developed countries and their supportive commentators have widely criticized the arbitrariness and exclusiveness of club standards, those </w:t>
      </w:r>
      <w:r>
        <w:rPr>
          <w:b w:val="0"/>
          <w:i w:val="0"/>
          <w:smallCaps w:val="0"/>
          <w:strike w:val="0"/>
          <w:sz w:val="22"/>
          <w:highlight w:val="cyan"/>
          <w:u w:val="single"/>
        </w:rPr>
        <w:t>standards</w:t>
      </w:r>
      <w:r>
        <w:rPr>
          <w:b w:val="0"/>
          <w:i w:val="0"/>
          <w:smallCaps w:val="0"/>
          <w:strike w:val="0"/>
          <w:sz w:val="22"/>
          <w:u w:val="single"/>
        </w:rPr>
        <w:t xml:space="preserve"> have been </w:t>
      </w:r>
      <w:r>
        <w:rPr>
          <w:b w:val="0"/>
          <w:i w:val="0"/>
          <w:smallCaps w:val="0"/>
          <w:strike w:val="0"/>
          <w:sz w:val="22"/>
          <w:highlight w:val="cyan"/>
          <w:u w:val="single"/>
        </w:rPr>
        <w:t>used in</w:t>
      </w:r>
      <w:r>
        <w:rPr>
          <w:b w:val="0"/>
          <w:i w:val="0"/>
          <w:smallCaps w:val="0"/>
          <w:strike w:val="0"/>
          <w:sz w:val="22"/>
          <w:u w:val="single"/>
        </w:rPr>
        <w:t xml:space="preserve"> </w:t>
      </w:r>
      <w:r>
        <w:rPr>
          <w:b/>
          <w:i w:val="0"/>
          <w:smallCaps w:val="0"/>
          <w:strike w:val="0"/>
          <w:sz w:val="24"/>
          <w:highlight w:val="cyan"/>
          <w:u w:val="single"/>
        </w:rPr>
        <w:t>other fields</w:t>
      </w:r>
      <w:r>
        <w:rPr>
          <w:b w:val="0"/>
          <w:i w:val="0"/>
          <w:smallCaps w:val="0"/>
          <w:strike w:val="0"/>
          <w:sz w:val="16"/>
          <w:u w:val="none"/>
        </w:rPr>
        <w:t xml:space="preserve"> of international law. In 1989, the Group of Seven (</w:t>
      </w:r>
      <w:r>
        <w:rPr>
          <w:b/>
          <w:i w:val="0"/>
          <w:smallCaps w:val="0"/>
          <w:strike w:val="0"/>
          <w:sz w:val="24"/>
          <w:highlight w:val="cyan"/>
          <w:u w:val="single"/>
        </w:rPr>
        <w:t>G-7</w:t>
      </w:r>
      <w:r>
        <w:rPr>
          <w:b w:val="0"/>
          <w:i w:val="0"/>
          <w:smallCaps w:val="0"/>
          <w:strike w:val="0"/>
          <w:sz w:val="16"/>
          <w:u w:val="none"/>
        </w:rPr>
        <w:t xml:space="preserve">) established the Financial Action Task Force in the Paris Summit to combat money laundering (and later terrorist financing).70 In the early 1990s, this task force was extended to countries in the </w:t>
      </w:r>
      <w:r>
        <w:rPr>
          <w:b w:val="0"/>
          <w:i w:val="0"/>
          <w:smallCaps w:val="0"/>
          <w:strike w:val="0"/>
          <w:sz w:val="16"/>
          <w:u w:val="none"/>
        </w:rPr>
        <w:t>Organisation</w:t>
      </w:r>
      <w:r>
        <w:rPr>
          <w:b w:val="0"/>
          <w:i w:val="0"/>
          <w:smallCaps w:val="0"/>
          <w:strike w:val="0"/>
          <w:sz w:val="16"/>
          <w:u w:val="none"/>
        </w:rPr>
        <w:t xml:space="preserve"> for Economic Cooperation and Development (</w:t>
      </w:r>
      <w:r>
        <w:rPr>
          <w:b/>
          <w:i w:val="0"/>
          <w:smallCaps w:val="0"/>
          <w:strike w:val="0"/>
          <w:sz w:val="24"/>
          <w:highlight w:val="cyan"/>
          <w:u w:val="single"/>
        </w:rPr>
        <w:t>OECD</w:t>
      </w:r>
      <w:r>
        <w:rPr>
          <w:b w:val="0"/>
          <w:i w:val="0"/>
          <w:smallCaps w:val="0"/>
          <w:strike w:val="0"/>
          <w:sz w:val="16"/>
          <w:u w:val="none"/>
        </w:rPr>
        <w:t xml:space="preserve">) as well as to </w:t>
      </w:r>
      <w:r>
        <w:rPr>
          <w:b w:val="0"/>
          <w:i w:val="0"/>
          <w:smallCaps w:val="0"/>
          <w:strike w:val="0"/>
          <w:sz w:val="22"/>
          <w:u w:val="single"/>
        </w:rPr>
        <w:t xml:space="preserve">a </w:t>
      </w:r>
      <w:r>
        <w:rPr>
          <w:b w:val="0"/>
          <w:i w:val="0"/>
          <w:smallCaps w:val="0"/>
          <w:strike w:val="0"/>
          <w:sz w:val="22"/>
          <w:u w:val="single"/>
        </w:rPr>
        <w:t xml:space="preserve">select group of </w:t>
      </w:r>
      <w:r>
        <w:rPr>
          <w:b/>
          <w:i w:val="0"/>
          <w:smallCaps w:val="0"/>
          <w:strike w:val="0"/>
          <w:sz w:val="24"/>
          <w:u w:val="single"/>
        </w:rPr>
        <w:t>non-OECD economies</w:t>
      </w:r>
      <w:r>
        <w:rPr>
          <w:b w:val="0"/>
          <w:i w:val="0"/>
          <w:smallCaps w:val="0"/>
          <w:strike w:val="0"/>
          <w:sz w:val="22"/>
          <w:u w:val="single"/>
        </w:rPr>
        <w:t xml:space="preserve">, such as Hong Kong and Singapore, and to regional organizations, such as the </w:t>
      </w:r>
      <w:r>
        <w:rPr>
          <w:b/>
          <w:i w:val="0"/>
          <w:smallCaps w:val="0"/>
          <w:strike w:val="0"/>
          <w:sz w:val="24"/>
          <w:highlight w:val="cyan"/>
          <w:u w:val="single"/>
        </w:rPr>
        <w:t>G</w:t>
      </w:r>
      <w:r>
        <w:rPr>
          <w:b/>
          <w:i w:val="0"/>
          <w:smallCaps w:val="0"/>
          <w:strike w:val="0"/>
          <w:sz w:val="24"/>
          <w:u w:val="single"/>
        </w:rPr>
        <w:t xml:space="preserve">ulf </w:t>
      </w:r>
      <w:r>
        <w:rPr>
          <w:b/>
          <w:i w:val="0"/>
          <w:smallCaps w:val="0"/>
          <w:strike w:val="0"/>
          <w:sz w:val="24"/>
          <w:highlight w:val="cyan"/>
          <w:u w:val="single"/>
        </w:rPr>
        <w:t>C</w:t>
      </w:r>
      <w:r>
        <w:rPr>
          <w:b/>
          <w:i w:val="0"/>
          <w:smallCaps w:val="0"/>
          <w:strike w:val="0"/>
          <w:sz w:val="24"/>
          <w:u w:val="single"/>
        </w:rPr>
        <w:t xml:space="preserve">ooperation </w:t>
      </w:r>
      <w:r>
        <w:rPr>
          <w:b/>
          <w:i w:val="0"/>
          <w:smallCaps w:val="0"/>
          <w:strike w:val="0"/>
          <w:sz w:val="24"/>
          <w:highlight w:val="cyan"/>
          <w:u w:val="single"/>
        </w:rPr>
        <w:t>C</w:t>
      </w:r>
      <w:r>
        <w:rPr>
          <w:b/>
          <w:i w:val="0"/>
          <w:smallCaps w:val="0"/>
          <w:strike w:val="0"/>
          <w:sz w:val="24"/>
          <w:u w:val="single"/>
        </w:rPr>
        <w:t>ouncil</w:t>
      </w:r>
      <w:r>
        <w:rPr>
          <w:b w:val="0"/>
          <w:i w:val="0"/>
          <w:smallCaps w:val="0"/>
          <w:strike w:val="0"/>
          <w:sz w:val="22"/>
          <w:u w:val="single"/>
        </w:rPr>
        <w:t>.</w:t>
      </w:r>
      <w:r>
        <w:rPr>
          <w:b w:val="0"/>
          <w:i w:val="0"/>
          <w:smallCaps w:val="0"/>
          <w:strike w:val="0"/>
          <w:sz w:val="16"/>
          <w:u w:val="none"/>
        </w:rPr>
        <w:t>71</w:t>
      </w:r>
    </w:p>
    <w:p>
      <w:pPr>
        <w:spacing w:after="60"/>
      </w:pPr>
      <w:r>
        <w:rPr>
          <w:b w:val="0"/>
          <w:i w:val="0"/>
          <w:smallCaps w:val="0"/>
          <w:strike w:val="0"/>
          <w:sz w:val="16"/>
          <w:u w:val="none"/>
        </w:rPr>
        <w:t xml:space="preserve">While club standards have not been widely used in the intellectual property arena, </w:t>
      </w:r>
      <w:r>
        <w:rPr>
          <w:b w:val="0"/>
          <w:i w:val="0"/>
          <w:smallCaps w:val="0"/>
          <w:strike w:val="0"/>
          <w:sz w:val="22"/>
          <w:u w:val="single"/>
        </w:rPr>
        <w:t>one could</w:t>
      </w:r>
      <w:r>
        <w:rPr>
          <w:b w:val="0"/>
          <w:i w:val="0"/>
          <w:smallCaps w:val="0"/>
          <w:strike w:val="0"/>
          <w:sz w:val="16"/>
          <w:u w:val="none"/>
        </w:rPr>
        <w:t xml:space="preserve"> arguably </w:t>
      </w:r>
      <w:r>
        <w:rPr>
          <w:b w:val="0"/>
          <w:i w:val="0"/>
          <w:smallCaps w:val="0"/>
          <w:strike w:val="0"/>
          <w:sz w:val="22"/>
          <w:highlight w:val="cyan"/>
          <w:u w:val="single"/>
        </w:rPr>
        <w:t>trace</w:t>
      </w:r>
      <w:r>
        <w:rPr>
          <w:b w:val="0"/>
          <w:i w:val="0"/>
          <w:smallCaps w:val="0"/>
          <w:strike w:val="0"/>
          <w:sz w:val="22"/>
          <w:u w:val="single"/>
        </w:rPr>
        <w:t xml:space="preserve"> the </w:t>
      </w:r>
      <w:r>
        <w:rPr>
          <w:b w:val="0"/>
          <w:i w:val="0"/>
          <w:smallCaps w:val="0"/>
          <w:strike w:val="0"/>
          <w:sz w:val="22"/>
          <w:highlight w:val="cyan"/>
          <w:u w:val="single"/>
        </w:rPr>
        <w:t>development of</w:t>
      </w:r>
      <w:r>
        <w:rPr>
          <w:b w:val="0"/>
          <w:i w:val="0"/>
          <w:smallCaps w:val="0"/>
          <w:strike w:val="0"/>
          <w:sz w:val="16"/>
          <w:u w:val="none"/>
        </w:rPr>
        <w:t xml:space="preserve"> the </w:t>
      </w:r>
      <w:r>
        <w:rPr>
          <w:b/>
          <w:i w:val="0"/>
          <w:smallCaps w:val="0"/>
          <w:strike w:val="0"/>
          <w:sz w:val="24"/>
          <w:highlight w:val="cyan"/>
          <w:u w:val="single"/>
        </w:rPr>
        <w:t>TRIPS</w:t>
      </w:r>
      <w:r>
        <w:rPr>
          <w:b w:val="0"/>
          <w:i w:val="0"/>
          <w:smallCaps w:val="0"/>
          <w:strike w:val="0"/>
          <w:sz w:val="16"/>
          <w:u w:val="none"/>
        </w:rPr>
        <w:t xml:space="preserve"> Agreement </w:t>
      </w:r>
      <w:r>
        <w:rPr>
          <w:b w:val="0"/>
          <w:i w:val="0"/>
          <w:smallCaps w:val="0"/>
          <w:strike w:val="0"/>
          <w:sz w:val="22"/>
          <w:u w:val="single"/>
        </w:rPr>
        <w:t xml:space="preserve">back </w:t>
      </w:r>
      <w:r>
        <w:rPr>
          <w:b w:val="0"/>
          <w:i w:val="0"/>
          <w:smallCaps w:val="0"/>
          <w:strike w:val="0"/>
          <w:sz w:val="22"/>
          <w:highlight w:val="cyan"/>
          <w:u w:val="single"/>
        </w:rPr>
        <w:t>to</w:t>
      </w:r>
      <w:r>
        <w:rPr>
          <w:b w:val="0"/>
          <w:i w:val="0"/>
          <w:smallCaps w:val="0"/>
          <w:strike w:val="0"/>
          <w:sz w:val="22"/>
          <w:u w:val="single"/>
        </w:rPr>
        <w:t xml:space="preserve"> a two-stage process involving </w:t>
      </w:r>
      <w:r>
        <w:rPr>
          <w:b/>
          <w:i w:val="0"/>
          <w:smallCaps w:val="0"/>
          <w:strike w:val="0"/>
          <w:sz w:val="24"/>
          <w:highlight w:val="cyan"/>
          <w:u w:val="single"/>
        </w:rPr>
        <w:t>these standards</w:t>
      </w:r>
      <w:r>
        <w:rPr>
          <w:b w:val="0"/>
          <w:i w:val="0"/>
          <w:smallCaps w:val="0"/>
          <w:strike w:val="0"/>
          <w:sz w:val="22"/>
          <w:u w:val="single"/>
        </w:rPr>
        <w:t xml:space="preserve">. </w:t>
      </w:r>
      <w:r>
        <w:rPr>
          <w:b w:val="0"/>
          <w:i w:val="0"/>
          <w:smallCaps w:val="0"/>
          <w:strike w:val="0"/>
          <w:sz w:val="16"/>
          <w:u w:val="none"/>
        </w:rPr>
        <w:t xml:space="preserve">The first stage took place when the US, the European Communities and Japan banded together to develop ‘highest common denominator’ standards for the protection and enforcement of intellectual property rights.72 After these standards had been accepted, the second stage kicked in when these trading </w:t>
      </w:r>
      <w:r>
        <w:rPr>
          <w:b w:val="0"/>
          <w:i w:val="0"/>
          <w:smallCaps w:val="0"/>
          <w:strike w:val="0"/>
          <w:sz w:val="22"/>
          <w:u w:val="single"/>
        </w:rPr>
        <w:t xml:space="preserve">powers sought to </w:t>
      </w:r>
      <w:r>
        <w:rPr>
          <w:b w:val="0"/>
          <w:i w:val="0"/>
          <w:smallCaps w:val="0"/>
          <w:strike w:val="0"/>
          <w:sz w:val="22"/>
          <w:u w:val="single"/>
        </w:rPr>
        <w:t>multilateralize</w:t>
      </w:r>
      <w:r>
        <w:rPr>
          <w:b w:val="0"/>
          <w:i w:val="0"/>
          <w:smallCaps w:val="0"/>
          <w:strike w:val="0"/>
          <w:sz w:val="22"/>
          <w:u w:val="single"/>
        </w:rPr>
        <w:t xml:space="preserve"> the standards by </w:t>
      </w:r>
      <w:r>
        <w:rPr>
          <w:b w:val="0"/>
          <w:i w:val="0"/>
          <w:smallCaps w:val="0"/>
          <w:strike w:val="0"/>
          <w:sz w:val="22"/>
          <w:highlight w:val="cyan"/>
          <w:u w:val="single"/>
        </w:rPr>
        <w:t>extending them to</w:t>
      </w:r>
      <w:r>
        <w:rPr>
          <w:b w:val="0"/>
          <w:i w:val="0"/>
          <w:smallCaps w:val="0"/>
          <w:strike w:val="0"/>
          <w:sz w:val="22"/>
          <w:u w:val="single"/>
        </w:rPr>
        <w:t xml:space="preserve"> other members of the </w:t>
      </w:r>
      <w:r>
        <w:rPr>
          <w:b/>
          <w:i w:val="0"/>
          <w:smallCaps w:val="0"/>
          <w:strike w:val="0"/>
          <w:sz w:val="24"/>
          <w:highlight w:val="cyan"/>
          <w:u w:val="single"/>
        </w:rPr>
        <w:t>GATT</w:t>
      </w:r>
      <w:r>
        <w:rPr>
          <w:b w:val="0"/>
          <w:i w:val="0"/>
          <w:smallCaps w:val="0"/>
          <w:strike w:val="0"/>
          <w:sz w:val="22"/>
          <w:highlight w:val="cyan"/>
          <w:u w:val="single"/>
        </w:rPr>
        <w:t>, and later</w:t>
      </w:r>
      <w:r>
        <w:rPr>
          <w:b w:val="0"/>
          <w:i w:val="0"/>
          <w:smallCaps w:val="0"/>
          <w:strike w:val="0"/>
          <w:sz w:val="22"/>
          <w:u w:val="single"/>
        </w:rPr>
        <w:t xml:space="preserve"> the </w:t>
      </w:r>
      <w:r>
        <w:rPr>
          <w:b/>
          <w:i w:val="0"/>
          <w:smallCaps w:val="0"/>
          <w:strike w:val="0"/>
          <w:sz w:val="24"/>
          <w:highlight w:val="cyan"/>
          <w:u w:val="single"/>
        </w:rPr>
        <w:t>WTO</w:t>
      </w:r>
      <w:r>
        <w:rPr>
          <w:b w:val="0"/>
          <w:i w:val="0"/>
          <w:smallCaps w:val="0"/>
          <w:strike w:val="0"/>
          <w:sz w:val="22"/>
          <w:u w:val="single"/>
        </w:rPr>
        <w:t>.</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