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The perm </w:t>
      </w:r>
      <w:r>
        <w:rPr>
          <w:b/>
          <w:i w:val="0"/>
          <w:smallCaps w:val="0"/>
          <w:strike w:val="0"/>
          <w:sz w:val="26"/>
          <w:u w:val="single"/>
        </w:rPr>
        <w:t>destroys</w:t>
      </w:r>
      <w:r>
        <w:rPr>
          <w:b/>
          <w:i w:val="0"/>
          <w:smallCaps w:val="0"/>
          <w:strike w:val="0"/>
          <w:sz w:val="26"/>
          <w:u w:val="none"/>
        </w:rPr>
        <w:t xml:space="preserve"> certainty. Stabilizing international law through direct incorporation is the </w:t>
      </w:r>
      <w:r>
        <w:rPr>
          <w:b/>
          <w:i w:val="0"/>
          <w:smallCaps w:val="0"/>
          <w:strike w:val="0"/>
          <w:sz w:val="26"/>
          <w:u w:val="single"/>
        </w:rPr>
        <w:t>only</w:t>
      </w:r>
      <w:r>
        <w:rPr>
          <w:b/>
          <w:i w:val="0"/>
          <w:smallCaps w:val="0"/>
          <w:strike w:val="0"/>
          <w:sz w:val="26"/>
          <w:u w:val="none"/>
        </w:rPr>
        <w:t xml:space="preserve"> way to make law </w:t>
      </w:r>
      <w:r>
        <w:rPr>
          <w:b/>
          <w:i w:val="0"/>
          <w:smallCaps w:val="0"/>
          <w:strike w:val="0"/>
          <w:sz w:val="26"/>
          <w:u w:val="single"/>
        </w:rPr>
        <w:t>certain</w:t>
      </w:r>
      <w:r>
        <w:rPr>
          <w:b/>
          <w:i w:val="0"/>
          <w:smallCaps w:val="0"/>
          <w:strike w:val="0"/>
          <w:sz w:val="26"/>
          <w:u w:val="none"/>
        </w:rPr>
        <w:t xml:space="preserve"> and </w:t>
      </w:r>
      <w:r>
        <w:rPr>
          <w:b/>
          <w:i w:val="0"/>
          <w:smallCaps w:val="0"/>
          <w:strike w:val="0"/>
          <w:sz w:val="26"/>
          <w:u w:val="single"/>
        </w:rPr>
        <w:t>predictable</w:t>
      </w:r>
      <w:r>
        <w:rPr>
          <w:b/>
          <w:i w:val="0"/>
          <w:smallCaps w:val="0"/>
          <w:strike w:val="0"/>
          <w:sz w:val="26"/>
          <w:u w:val="none"/>
        </w:rPr>
        <w:t xml:space="preserve">---the </w:t>
      </w:r>
      <w:r>
        <w:rPr>
          <w:b/>
          <w:i w:val="0"/>
          <w:smallCaps w:val="0"/>
          <w:strike w:val="0"/>
          <w:sz w:val="26"/>
          <w:u w:val="single"/>
        </w:rPr>
        <w:t>unchecked unilateralism</w:t>
      </w:r>
      <w:r>
        <w:rPr>
          <w:b/>
          <w:i w:val="0"/>
          <w:smallCaps w:val="0"/>
          <w:strike w:val="0"/>
          <w:sz w:val="26"/>
          <w:u w:val="none"/>
        </w:rPr>
        <w:t xml:space="preserve"> of national law is destabilizing.</w:t>
      </w:r>
    </w:p>
    <w:p>
      <w:pPr>
        <w:spacing w:after="80"/>
      </w:pPr>
      <w:r>
        <w:rPr>
          <w:b/>
          <w:i w:val="0"/>
          <w:smallCaps w:val="0"/>
          <w:strike w:val="0"/>
          <w:sz w:val="26"/>
          <w:u w:val="none"/>
        </w:rPr>
        <w:t xml:space="preserve">Noyes ’9 </w:t>
      </w:r>
      <w:r>
        <w:rPr>
          <w:b w:val="0"/>
          <w:i w:val="0"/>
          <w:smallCaps w:val="0"/>
          <w:strike w:val="0"/>
          <w:u w:val="none"/>
        </w:rPr>
        <w:t>[John E.; 2009; Professor of Law, California Western School of Law, President of the American Branch of the International Law Association; Publicist, “The United States and the Law of the Sea Convention: U.S. Views Concerning the Settlement of International Law Disputes in International Tribunals and U.S. Courts,” https://bjil.typepad.com/publicist/2009/03/publicist01-noyes.html]</w:t>
      </w:r>
    </w:p>
    <w:p>
      <w:pPr>
        <w:spacing w:after="60"/>
      </w:pPr>
      <w:r>
        <w:rPr>
          <w:b w:val="0"/>
          <w:i w:val="0"/>
          <w:smallCaps w:val="0"/>
          <w:strike w:val="0"/>
          <w:sz w:val="16"/>
          <w:u w:val="none"/>
        </w:rPr>
        <w:t xml:space="preserve">Yet </w:t>
      </w:r>
      <w:r>
        <w:rPr>
          <w:b w:val="0"/>
          <w:i w:val="0"/>
          <w:smallCaps w:val="0"/>
          <w:strike w:val="0"/>
          <w:sz w:val="22"/>
          <w:highlight w:val="cyan"/>
          <w:u w:val="single"/>
        </w:rPr>
        <w:t>refusing</w:t>
      </w:r>
      <w:r>
        <w:rPr>
          <w:b w:val="0"/>
          <w:i w:val="0"/>
          <w:smallCaps w:val="0"/>
          <w:strike w:val="0"/>
          <w:sz w:val="22"/>
          <w:u w:val="single"/>
        </w:rPr>
        <w:t xml:space="preserve"> to allow </w:t>
      </w:r>
      <w:r>
        <w:rPr>
          <w:b w:val="0"/>
          <w:i w:val="0"/>
          <w:smallCaps w:val="0"/>
          <w:strike w:val="0"/>
          <w:sz w:val="22"/>
          <w:highlight w:val="cyan"/>
          <w:u w:val="single"/>
        </w:rPr>
        <w:t>direct application</w:t>
      </w:r>
      <w:r>
        <w:rPr>
          <w:b w:val="0"/>
          <w:i w:val="0"/>
          <w:smallCaps w:val="0"/>
          <w:strike w:val="0"/>
          <w:sz w:val="22"/>
          <w:u w:val="single"/>
        </w:rPr>
        <w:t xml:space="preserve"> of the Convention in U.S. courts would also </w:t>
      </w:r>
      <w:r>
        <w:rPr>
          <w:b/>
          <w:i w:val="0"/>
          <w:smallCaps w:val="0"/>
          <w:strike w:val="0"/>
          <w:sz w:val="24"/>
          <w:highlight w:val="cyan"/>
          <w:u w:val="single"/>
        </w:rPr>
        <w:t>carry costs</w:t>
      </w:r>
      <w:r>
        <w:rPr>
          <w:b w:val="0"/>
          <w:i w:val="0"/>
          <w:smallCaps w:val="0"/>
          <w:strike w:val="0"/>
          <w:sz w:val="22"/>
          <w:highlight w:val="cyan"/>
          <w:u w:val="single"/>
        </w:rPr>
        <w:t xml:space="preserve">. It is </w:t>
      </w:r>
      <w:r>
        <w:rPr>
          <w:b/>
          <w:i w:val="0"/>
          <w:smallCaps w:val="0"/>
          <w:strike w:val="0"/>
          <w:sz w:val="24"/>
          <w:highlight w:val="cyan"/>
          <w:u w:val="single"/>
        </w:rPr>
        <w:t>consistent</w:t>
      </w:r>
      <w:r>
        <w:rPr>
          <w:b w:val="0"/>
          <w:i w:val="0"/>
          <w:smallCaps w:val="0"/>
          <w:strike w:val="0"/>
          <w:sz w:val="22"/>
          <w:highlight w:val="cyan"/>
          <w:u w:val="single"/>
        </w:rPr>
        <w:t xml:space="preserve"> with</w:t>
      </w:r>
      <w:r>
        <w:rPr>
          <w:b w:val="0"/>
          <w:i w:val="0"/>
          <w:smallCaps w:val="0"/>
          <w:strike w:val="0"/>
          <w:sz w:val="22"/>
          <w:u w:val="single"/>
        </w:rPr>
        <w:t xml:space="preserve"> some </w:t>
      </w:r>
      <w:r>
        <w:rPr>
          <w:b/>
          <w:i w:val="0"/>
          <w:smallCaps w:val="0"/>
          <w:strike w:val="0"/>
          <w:sz w:val="24"/>
          <w:u w:val="single"/>
        </w:rPr>
        <w:t xml:space="preserve">U.S. </w:t>
      </w:r>
      <w:r>
        <w:rPr>
          <w:b/>
          <w:i w:val="0"/>
          <w:smallCaps w:val="0"/>
          <w:strike w:val="0"/>
          <w:sz w:val="24"/>
          <w:highlight w:val="cyan"/>
          <w:u w:val="single"/>
        </w:rPr>
        <w:t>traditions</w:t>
      </w:r>
      <w:r>
        <w:rPr>
          <w:b w:val="0"/>
          <w:i w:val="0"/>
          <w:smallCaps w:val="0"/>
          <w:strike w:val="0"/>
          <w:sz w:val="22"/>
          <w:highlight w:val="cyan"/>
          <w:u w:val="single"/>
        </w:rPr>
        <w:t xml:space="preserve"> to regard </w:t>
      </w:r>
      <w:r>
        <w:rPr>
          <w:b/>
          <w:i w:val="0"/>
          <w:smallCaps w:val="0"/>
          <w:strike w:val="0"/>
          <w:sz w:val="24"/>
          <w:highlight w:val="cyan"/>
          <w:u w:val="single"/>
        </w:rPr>
        <w:t>i</w:t>
      </w:r>
      <w:r>
        <w:rPr>
          <w:b w:val="0"/>
          <w:i w:val="0"/>
          <w:smallCaps w:val="0"/>
          <w:strike w:val="0"/>
          <w:sz w:val="22"/>
          <w:u w:val="single"/>
        </w:rPr>
        <w:t xml:space="preserve">nternational </w:t>
      </w:r>
      <w:r>
        <w:rPr>
          <w:b w:val="0"/>
          <w:i w:val="0"/>
          <w:smallCaps w:val="0"/>
          <w:strike w:val="0"/>
          <w:sz w:val="22"/>
          <w:highlight w:val="cyan"/>
          <w:u w:val="single"/>
        </w:rPr>
        <w:t>law</w:t>
      </w:r>
      <w:r>
        <w:rPr>
          <w:b w:val="0"/>
          <w:i w:val="0"/>
          <w:smallCaps w:val="0"/>
          <w:strike w:val="0"/>
          <w:sz w:val="16"/>
          <w:u w:val="none"/>
        </w:rPr>
        <w:t xml:space="preserve">, even as it applies to individuals, </w:t>
      </w:r>
      <w:r>
        <w:rPr>
          <w:b w:val="0"/>
          <w:i w:val="0"/>
          <w:smallCaps w:val="0"/>
          <w:strike w:val="0"/>
          <w:sz w:val="22"/>
          <w:highlight w:val="cyan"/>
          <w:u w:val="single"/>
        </w:rPr>
        <w:t xml:space="preserve">as </w:t>
      </w:r>
      <w:r>
        <w:rPr>
          <w:b/>
          <w:i w:val="0"/>
          <w:smallCaps w:val="0"/>
          <w:strike w:val="0"/>
          <w:sz w:val="24"/>
          <w:highlight w:val="cyan"/>
          <w:u w:val="single"/>
        </w:rPr>
        <w:t>fully justiciable</w:t>
      </w:r>
      <w:r>
        <w:rPr>
          <w:b w:val="0"/>
          <w:i w:val="0"/>
          <w:smallCaps w:val="0"/>
          <w:strike w:val="0"/>
          <w:sz w:val="22"/>
          <w:u w:val="single"/>
        </w:rPr>
        <w:t xml:space="preserve"> law, </w:t>
      </w:r>
      <w:r>
        <w:rPr>
          <w:b/>
          <w:i w:val="0"/>
          <w:smallCaps w:val="0"/>
          <w:strike w:val="0"/>
          <w:sz w:val="24"/>
          <w:u w:val="single"/>
        </w:rPr>
        <w:t>like</w:t>
      </w:r>
      <w:r>
        <w:rPr>
          <w:b w:val="0"/>
          <w:i w:val="0"/>
          <w:smallCaps w:val="0"/>
          <w:strike w:val="0"/>
          <w:sz w:val="16"/>
          <w:u w:val="none"/>
        </w:rPr>
        <w:t xml:space="preserve"> domestic </w:t>
      </w:r>
      <w:r>
        <w:rPr>
          <w:b/>
          <w:i w:val="0"/>
          <w:smallCaps w:val="0"/>
          <w:strike w:val="0"/>
          <w:sz w:val="24"/>
          <w:u w:val="single"/>
        </w:rPr>
        <w:t>statutory</w:t>
      </w:r>
      <w:r>
        <w:rPr>
          <w:b w:val="0"/>
          <w:i w:val="0"/>
          <w:smallCaps w:val="0"/>
          <w:strike w:val="0"/>
          <w:sz w:val="16"/>
          <w:u w:val="none"/>
        </w:rPr>
        <w:t xml:space="preserve"> and case </w:t>
      </w:r>
      <w:r>
        <w:rPr>
          <w:b/>
          <w:i w:val="0"/>
          <w:smallCaps w:val="0"/>
          <w:strike w:val="0"/>
          <w:sz w:val="24"/>
          <w:u w:val="single"/>
        </w:rPr>
        <w:t>law</w:t>
      </w:r>
      <w:r>
        <w:rPr>
          <w:b w:val="0"/>
          <w:i w:val="0"/>
          <w:smallCaps w:val="0"/>
          <w:strike w:val="0"/>
          <w:sz w:val="16"/>
          <w:u w:val="none"/>
        </w:rPr>
        <w:t xml:space="preserve">. In this view, </w:t>
      </w:r>
      <w:r>
        <w:rPr>
          <w:b w:val="0"/>
          <w:i w:val="0"/>
          <w:smallCaps w:val="0"/>
          <w:strike w:val="0"/>
          <w:sz w:val="22"/>
          <w:u w:val="single"/>
        </w:rPr>
        <w:t>applying</w:t>
      </w:r>
      <w:r>
        <w:rPr>
          <w:b w:val="0"/>
          <w:i w:val="0"/>
          <w:smallCaps w:val="0"/>
          <w:strike w:val="0"/>
          <w:sz w:val="16"/>
          <w:u w:val="none"/>
        </w:rPr>
        <w:t xml:space="preserve"> the Convention </w:t>
      </w:r>
      <w:r>
        <w:rPr>
          <w:b w:val="0"/>
          <w:i w:val="0"/>
          <w:smallCaps w:val="0"/>
          <w:strike w:val="0"/>
          <w:sz w:val="22"/>
          <w:u w:val="single"/>
        </w:rPr>
        <w:t>in U.S. cases</w:t>
      </w:r>
      <w:r>
        <w:rPr>
          <w:b w:val="0"/>
          <w:i w:val="0"/>
          <w:smallCaps w:val="0"/>
          <w:strike w:val="0"/>
          <w:sz w:val="16"/>
          <w:u w:val="none"/>
        </w:rPr>
        <w:t xml:space="preserve"> concerning individuals </w:t>
      </w:r>
      <w:r>
        <w:rPr>
          <w:b w:val="0"/>
          <w:i w:val="0"/>
          <w:smallCaps w:val="0"/>
          <w:strike w:val="0"/>
          <w:sz w:val="22"/>
          <w:u w:val="single"/>
        </w:rPr>
        <w:t xml:space="preserve">would be </w:t>
      </w:r>
      <w:r>
        <w:rPr>
          <w:b w:val="0"/>
          <w:i w:val="0"/>
          <w:smallCaps w:val="0"/>
          <w:strike w:val="0"/>
          <w:sz w:val="22"/>
          <w:highlight w:val="cyan"/>
          <w:u w:val="single"/>
        </w:rPr>
        <w:t xml:space="preserve">an </w:t>
      </w:r>
      <w:r>
        <w:rPr>
          <w:b/>
          <w:i w:val="0"/>
          <w:smallCaps w:val="0"/>
          <w:strike w:val="0"/>
          <w:sz w:val="24"/>
          <w:highlight w:val="cyan"/>
          <w:u w:val="single"/>
        </w:rPr>
        <w:t>ordinary</w:t>
      </w:r>
      <w:r>
        <w:rPr>
          <w:b w:val="0"/>
          <w:i w:val="0"/>
          <w:smallCaps w:val="0"/>
          <w:strike w:val="0"/>
          <w:sz w:val="22"/>
          <w:highlight w:val="cyan"/>
          <w:u w:val="single"/>
        </w:rPr>
        <w:t xml:space="preserve"> exercise</w:t>
      </w:r>
      <w:r>
        <w:rPr>
          <w:b w:val="0"/>
          <w:i w:val="0"/>
          <w:smallCaps w:val="0"/>
          <w:strike w:val="0"/>
          <w:sz w:val="22"/>
          <w:u w:val="single"/>
        </w:rPr>
        <w:t xml:space="preserve"> of judicial authority. In general, direct </w:t>
      </w:r>
      <w:r>
        <w:rPr>
          <w:b w:val="0"/>
          <w:i w:val="0"/>
          <w:smallCaps w:val="0"/>
          <w:strike w:val="0"/>
          <w:sz w:val="22"/>
          <w:highlight w:val="cyan"/>
          <w:u w:val="single"/>
        </w:rPr>
        <w:t>application</w:t>
      </w:r>
      <w:r>
        <w:rPr>
          <w:b w:val="0"/>
          <w:i w:val="0"/>
          <w:smallCaps w:val="0"/>
          <w:strike w:val="0"/>
          <w:sz w:val="16"/>
          <w:u w:val="none"/>
        </w:rPr>
        <w:t xml:space="preserve"> of the Convention in cases involving individuals </w:t>
      </w:r>
      <w:r>
        <w:rPr>
          <w:b w:val="0"/>
          <w:i w:val="0"/>
          <w:smallCaps w:val="0"/>
          <w:strike w:val="0"/>
          <w:sz w:val="22"/>
          <w:u w:val="single"/>
        </w:rPr>
        <w:t xml:space="preserve">could </w:t>
      </w:r>
      <w:r>
        <w:rPr>
          <w:b w:val="0"/>
          <w:i w:val="0"/>
          <w:smallCaps w:val="0"/>
          <w:strike w:val="0"/>
          <w:sz w:val="22"/>
          <w:highlight w:val="cyan"/>
          <w:u w:val="single"/>
        </w:rPr>
        <w:t xml:space="preserve">have the </w:t>
      </w:r>
      <w:r>
        <w:rPr>
          <w:b/>
          <w:i w:val="0"/>
          <w:smallCaps w:val="0"/>
          <w:strike w:val="0"/>
          <w:sz w:val="24"/>
          <w:highlight w:val="cyan"/>
          <w:u w:val="single"/>
        </w:rPr>
        <w:t>salutary effect</w:t>
      </w:r>
      <w:r>
        <w:rPr>
          <w:b w:val="0"/>
          <w:i w:val="0"/>
          <w:smallCaps w:val="0"/>
          <w:strike w:val="0"/>
          <w:sz w:val="22"/>
          <w:u w:val="single"/>
        </w:rPr>
        <w:t xml:space="preserve"> of </w:t>
      </w:r>
      <w:r>
        <w:rPr>
          <w:b/>
          <w:i w:val="0"/>
          <w:smallCaps w:val="0"/>
          <w:strike w:val="0"/>
          <w:sz w:val="24"/>
          <w:highlight w:val="cyan"/>
          <w:u w:val="single"/>
        </w:rPr>
        <w:t>promoting</w:t>
      </w:r>
      <w:r>
        <w:rPr>
          <w:b w:val="0"/>
          <w:i w:val="0"/>
          <w:smallCaps w:val="0"/>
          <w:strike w:val="0"/>
          <w:sz w:val="22"/>
          <w:u w:val="single"/>
        </w:rPr>
        <w:t xml:space="preserve"> respect for basic human </w:t>
      </w:r>
      <w:r>
        <w:rPr>
          <w:b w:val="0"/>
          <w:i w:val="0"/>
          <w:smallCaps w:val="0"/>
          <w:strike w:val="0"/>
          <w:sz w:val="22"/>
          <w:highlight w:val="cyan"/>
          <w:u w:val="single"/>
        </w:rPr>
        <w:t xml:space="preserve">rights in </w:t>
      </w:r>
      <w:r>
        <w:rPr>
          <w:b/>
          <w:i w:val="0"/>
          <w:smallCaps w:val="0"/>
          <w:strike w:val="0"/>
          <w:sz w:val="24"/>
          <w:highlight w:val="cyan"/>
          <w:u w:val="single"/>
        </w:rPr>
        <w:t>other countries</w:t>
      </w:r>
      <w:r>
        <w:rPr>
          <w:b w:val="0"/>
          <w:i w:val="0"/>
          <w:smallCaps w:val="0"/>
          <w:strike w:val="0"/>
          <w:sz w:val="22"/>
          <w:u w:val="single"/>
        </w:rPr>
        <w:t xml:space="preserve">. There may be other benefits of such application as well. Recognizing the </w:t>
      </w:r>
      <w:r>
        <w:rPr>
          <w:b/>
          <w:i w:val="0"/>
          <w:smallCaps w:val="0"/>
          <w:strike w:val="0"/>
          <w:sz w:val="24"/>
          <w:u w:val="single"/>
        </w:rPr>
        <w:t xml:space="preserve">direct </w:t>
      </w:r>
      <w:r>
        <w:rPr>
          <w:b/>
          <w:i w:val="0"/>
          <w:smallCaps w:val="0"/>
          <w:strike w:val="0"/>
          <w:sz w:val="24"/>
          <w:highlight w:val="cyan"/>
          <w:u w:val="single"/>
        </w:rPr>
        <w:t>applicability</w:t>
      </w:r>
      <w:r>
        <w:rPr>
          <w:b w:val="0"/>
          <w:i w:val="0"/>
          <w:smallCaps w:val="0"/>
          <w:strike w:val="0"/>
          <w:sz w:val="16"/>
          <w:u w:val="none"/>
        </w:rPr>
        <w:t xml:space="preserve"> of the Convention’s prompt release articles in U.S. court, for example, </w:t>
      </w:r>
      <w:r>
        <w:rPr>
          <w:b w:val="0"/>
          <w:i w:val="0"/>
          <w:smallCaps w:val="0"/>
          <w:strike w:val="0"/>
          <w:sz w:val="22"/>
          <w:highlight w:val="cyan"/>
          <w:u w:val="single"/>
        </w:rPr>
        <w:t xml:space="preserve">could </w:t>
      </w:r>
      <w:r>
        <w:rPr>
          <w:b/>
          <w:i w:val="0"/>
          <w:smallCaps w:val="0"/>
          <w:strike w:val="0"/>
          <w:sz w:val="24"/>
          <w:highlight w:val="cyan"/>
          <w:u w:val="single"/>
        </w:rPr>
        <w:t>defuse conflicts</w:t>
      </w:r>
      <w:r>
        <w:rPr>
          <w:b w:val="0"/>
          <w:i w:val="0"/>
          <w:smallCaps w:val="0"/>
          <w:strike w:val="0"/>
          <w:sz w:val="22"/>
          <w:u w:val="single"/>
        </w:rPr>
        <w:t xml:space="preserve"> with other states</w:t>
      </w:r>
      <w:r>
        <w:rPr>
          <w:b w:val="0"/>
          <w:i w:val="0"/>
          <w:smallCaps w:val="0"/>
          <w:strike w:val="0"/>
          <w:sz w:val="16"/>
          <w:u w:val="none"/>
        </w:rPr>
        <w:t xml:space="preserve">. In addition, the U.S. tradition of promoting international trade and commerce – reflected in the Medellín dissent’s concern that the majority’s decision “threatens to deprive … businesses [and] property owners …. of the workable dispute resolution procedures that many treaties, including commercially oriented treaties, </w:t>
      </w:r>
      <w:r>
        <w:rPr>
          <w:b w:val="0"/>
          <w:i w:val="0"/>
          <w:smallCaps w:val="0"/>
          <w:strike w:val="0"/>
          <w:sz w:val="16"/>
          <w:u w:val="none"/>
        </w:rPr>
        <w:t>provide”[</w:t>
      </w:r>
      <w:r>
        <w:rPr>
          <w:b w:val="0"/>
          <w:i w:val="0"/>
          <w:smallCaps w:val="0"/>
          <w:strike w:val="0"/>
          <w:sz w:val="16"/>
          <w:u w:val="none"/>
        </w:rPr>
        <w:t xml:space="preserve">103] – suggests an historically strong reason not to read the Medellín Court’s non-self-execution holding too broadly. The concern with safeguarding commercial relationships also counsels against writing the non-self-executing provisions of the Advice and Consent Resolution too broadly, or at least counsels in favor of </w:t>
      </w:r>
      <w:r>
        <w:rPr>
          <w:b w:val="0"/>
          <w:i w:val="0"/>
          <w:smallCaps w:val="0"/>
          <w:strike w:val="0"/>
          <w:sz w:val="16"/>
          <w:u w:val="none"/>
        </w:rPr>
        <w:t>insuring</w:t>
      </w:r>
      <w:r>
        <w:rPr>
          <w:b w:val="0"/>
          <w:i w:val="0"/>
          <w:smallCaps w:val="0"/>
          <w:strike w:val="0"/>
          <w:sz w:val="16"/>
          <w:u w:val="none"/>
        </w:rPr>
        <w:t xml:space="preserve"> that U.S. legislation fully implements Convention provisions.</w:t>
      </w:r>
    </w:p>
    <w:p>
      <w:pPr>
        <w:spacing w:after="60"/>
      </w:pPr>
      <w:r>
        <w:rPr>
          <w:b w:val="0"/>
          <w:i w:val="0"/>
          <w:smallCaps w:val="0"/>
          <w:strike w:val="0"/>
          <w:sz w:val="16"/>
          <w:u w:val="none"/>
        </w:rPr>
        <w:t xml:space="preserve">If the Convention were self-executing, </w:t>
      </w:r>
      <w:r>
        <w:rPr>
          <w:b w:val="0"/>
          <w:i w:val="0"/>
          <w:smallCaps w:val="0"/>
          <w:strike w:val="0"/>
          <w:sz w:val="22"/>
          <w:u w:val="single"/>
        </w:rPr>
        <w:t xml:space="preserve">U.S. </w:t>
      </w:r>
      <w:r>
        <w:rPr>
          <w:b w:val="0"/>
          <w:i w:val="0"/>
          <w:smallCaps w:val="0"/>
          <w:strike w:val="0"/>
          <w:sz w:val="22"/>
          <w:highlight w:val="cyan"/>
          <w:u w:val="single"/>
        </w:rPr>
        <w:t>courts might</w:t>
      </w:r>
      <w:r>
        <w:rPr>
          <w:b w:val="0"/>
          <w:i w:val="0"/>
          <w:smallCaps w:val="0"/>
          <w:strike w:val="0"/>
          <w:sz w:val="22"/>
          <w:u w:val="single"/>
        </w:rPr>
        <w:t xml:space="preserve"> help to </w:t>
      </w:r>
      <w:r>
        <w:rPr>
          <w:b/>
          <w:i w:val="0"/>
          <w:smallCaps w:val="0"/>
          <w:strike w:val="0"/>
          <w:sz w:val="24"/>
          <w:highlight w:val="cyan"/>
          <w:u w:val="single"/>
        </w:rPr>
        <w:t>build state practice</w:t>
      </w:r>
      <w:r>
        <w:rPr>
          <w:b w:val="0"/>
          <w:i w:val="0"/>
          <w:smallCaps w:val="0"/>
          <w:strike w:val="0"/>
          <w:sz w:val="22"/>
          <w:highlight w:val="cyan"/>
          <w:u w:val="single"/>
        </w:rPr>
        <w:t xml:space="preserve"> and</w:t>
      </w:r>
      <w:r>
        <w:rPr>
          <w:b w:val="0"/>
          <w:i w:val="0"/>
          <w:smallCaps w:val="0"/>
          <w:strike w:val="0"/>
          <w:sz w:val="22"/>
          <w:u w:val="single"/>
        </w:rPr>
        <w:t xml:space="preserve"> help to </w:t>
      </w:r>
      <w:r>
        <w:rPr>
          <w:b w:val="0"/>
          <w:i w:val="0"/>
          <w:smallCaps w:val="0"/>
          <w:strike w:val="0"/>
          <w:sz w:val="22"/>
          <w:highlight w:val="cyan"/>
          <w:u w:val="single"/>
        </w:rPr>
        <w:t xml:space="preserve">reinforce </w:t>
      </w:r>
      <w:r>
        <w:rPr>
          <w:b/>
          <w:i w:val="0"/>
          <w:smallCaps w:val="0"/>
          <w:strike w:val="0"/>
          <w:sz w:val="24"/>
          <w:highlight w:val="cyan"/>
          <w:u w:val="single"/>
        </w:rPr>
        <w:t>interp</w:t>
      </w:r>
      <w:r>
        <w:rPr>
          <w:b w:val="0"/>
          <w:i w:val="0"/>
          <w:smallCaps w:val="0"/>
          <w:strike w:val="0"/>
          <w:sz w:val="22"/>
          <w:u w:val="single"/>
        </w:rPr>
        <w:t>retation</w:t>
      </w:r>
      <w:r>
        <w:rPr>
          <w:b/>
          <w:i w:val="0"/>
          <w:smallCaps w:val="0"/>
          <w:strike w:val="0"/>
          <w:sz w:val="24"/>
          <w:highlight w:val="cyan"/>
          <w:u w:val="single"/>
        </w:rPr>
        <w:t>s</w:t>
      </w:r>
      <w:r>
        <w:rPr>
          <w:b w:val="0"/>
          <w:i w:val="0"/>
          <w:smallCaps w:val="0"/>
          <w:strike w:val="0"/>
          <w:sz w:val="22"/>
          <w:u w:val="single"/>
        </w:rPr>
        <w:t xml:space="preserve"> of the Convention </w:t>
      </w:r>
      <w:r>
        <w:rPr>
          <w:b w:val="0"/>
          <w:i w:val="0"/>
          <w:smallCaps w:val="0"/>
          <w:strike w:val="0"/>
          <w:sz w:val="22"/>
          <w:highlight w:val="cyan"/>
          <w:u w:val="single"/>
        </w:rPr>
        <w:t xml:space="preserve">that </w:t>
      </w:r>
      <w:r>
        <w:rPr>
          <w:b/>
          <w:i w:val="0"/>
          <w:smallCaps w:val="0"/>
          <w:strike w:val="0"/>
          <w:sz w:val="24"/>
          <w:highlight w:val="cyan"/>
          <w:u w:val="single"/>
        </w:rPr>
        <w:t>favor U.S. positions</w:t>
      </w:r>
      <w:r>
        <w:rPr>
          <w:b w:val="0"/>
          <w:i w:val="0"/>
          <w:smallCaps w:val="0"/>
          <w:strike w:val="0"/>
          <w:sz w:val="16"/>
          <w:u w:val="none"/>
        </w:rPr>
        <w:t xml:space="preserve">. It is unlikely that U.S. courts would reach decisions </w:t>
      </w:r>
      <w:r>
        <w:rPr>
          <w:b w:val="0"/>
          <w:i w:val="0"/>
          <w:smallCaps w:val="0"/>
          <w:strike w:val="0"/>
          <w:sz w:val="16"/>
          <w:u w:val="none"/>
        </w:rPr>
        <w:t>construing the Convention in ways that were antithetical to the views of the U.S. Executive Branch. First, U.S. courts could invoke a variety of other prudential abstention doctrines, such as the political question doctrine, to avoid hearing cases that might adversely affect truly sensitive matters of U.S. foreign policy. Both the majority and dissent in Medellín signaled this concern, noting that U.S. courts should not hear such politically sensitive cases. Second, when U.S. courts do apply treaties directly, the courts often accord great weight to the suggestions of the Executive Branch concerning the interpretation of the treaties.[104]</w:t>
      </w:r>
    </w:p>
    <w:p>
      <w:pPr>
        <w:spacing w:after="60"/>
      </w:pPr>
      <w:r>
        <w:rPr>
          <w:b w:val="0"/>
          <w:i w:val="0"/>
          <w:smallCaps w:val="0"/>
          <w:strike w:val="0"/>
          <w:sz w:val="16"/>
          <w:u w:val="none"/>
        </w:rPr>
        <w:t xml:space="preserve">We would do well to remember the original justifications for including the third-party dispute settlement provisions in the Convention. These </w:t>
      </w:r>
      <w:r>
        <w:rPr>
          <w:b w:val="0"/>
          <w:i w:val="0"/>
          <w:smallCaps w:val="0"/>
          <w:strike w:val="0"/>
          <w:sz w:val="22"/>
          <w:highlight w:val="cyan"/>
          <w:u w:val="single"/>
        </w:rPr>
        <w:t>justifications</w:t>
      </w:r>
      <w:r>
        <w:rPr>
          <w:b w:val="0"/>
          <w:i w:val="0"/>
          <w:smallCaps w:val="0"/>
          <w:strike w:val="0"/>
          <w:sz w:val="16"/>
          <w:u w:val="none"/>
        </w:rPr>
        <w:t xml:space="preserve"> – which U.S. officials articulated and supported during UNCLOS III – </w:t>
      </w:r>
      <w:r>
        <w:rPr>
          <w:b w:val="0"/>
          <w:i w:val="0"/>
          <w:smallCaps w:val="0"/>
          <w:strike w:val="0"/>
          <w:sz w:val="22"/>
          <w:highlight w:val="cyan"/>
          <w:u w:val="single"/>
        </w:rPr>
        <w:t>include</w:t>
      </w:r>
      <w:r>
        <w:rPr>
          <w:b w:val="0"/>
          <w:i w:val="0"/>
          <w:smallCaps w:val="0"/>
          <w:strike w:val="0"/>
          <w:sz w:val="22"/>
          <w:u w:val="single"/>
        </w:rPr>
        <w:t xml:space="preserve"> promoting </w:t>
      </w:r>
      <w:r>
        <w:rPr>
          <w:b/>
          <w:i w:val="0"/>
          <w:smallCaps w:val="0"/>
          <w:strike w:val="0"/>
          <w:sz w:val="24"/>
          <w:highlight w:val="cyan"/>
          <w:u w:val="single"/>
        </w:rPr>
        <w:t>certainty</w:t>
      </w:r>
      <w:r>
        <w:rPr>
          <w:b w:val="0"/>
          <w:i w:val="0"/>
          <w:smallCaps w:val="0"/>
          <w:strike w:val="0"/>
          <w:sz w:val="22"/>
          <w:highlight w:val="cyan"/>
          <w:u w:val="single"/>
        </w:rPr>
        <w:t xml:space="preserve">, </w:t>
      </w:r>
      <w:r>
        <w:rPr>
          <w:b/>
          <w:i w:val="0"/>
          <w:smallCaps w:val="0"/>
          <w:strike w:val="0"/>
          <w:sz w:val="24"/>
          <w:highlight w:val="cyan"/>
          <w:u w:val="single"/>
        </w:rPr>
        <w:t>predictability</w:t>
      </w:r>
      <w:r>
        <w:rPr>
          <w:b w:val="0"/>
          <w:i w:val="0"/>
          <w:smallCaps w:val="0"/>
          <w:strike w:val="0"/>
          <w:sz w:val="22"/>
          <w:highlight w:val="cyan"/>
          <w:u w:val="single"/>
        </w:rPr>
        <w:t xml:space="preserve">, and </w:t>
      </w:r>
      <w:r>
        <w:rPr>
          <w:b/>
          <w:i w:val="0"/>
          <w:smallCaps w:val="0"/>
          <w:strike w:val="0"/>
          <w:sz w:val="24"/>
          <w:highlight w:val="cyan"/>
          <w:u w:val="single"/>
        </w:rPr>
        <w:t>stability</w:t>
      </w:r>
      <w:r>
        <w:rPr>
          <w:b w:val="0"/>
          <w:i w:val="0"/>
          <w:smallCaps w:val="0"/>
          <w:strike w:val="0"/>
          <w:sz w:val="16"/>
          <w:u w:val="none"/>
        </w:rPr>
        <w:t xml:space="preserve">, with respect to rules that greatly benefit the United States.[105] These dispute settlement provisions can help deter illegal behavior, as well as promote the peaceful settlement of disputes. </w:t>
      </w:r>
      <w:r>
        <w:rPr>
          <w:b w:val="0"/>
          <w:i w:val="0"/>
          <w:smallCaps w:val="0"/>
          <w:strike w:val="0"/>
          <w:sz w:val="22"/>
          <w:u w:val="single"/>
        </w:rPr>
        <w:t>Domestic enforcement</w:t>
      </w:r>
      <w:r>
        <w:rPr>
          <w:b w:val="0"/>
          <w:i w:val="0"/>
          <w:smallCaps w:val="0"/>
          <w:strike w:val="0"/>
          <w:sz w:val="16"/>
          <w:u w:val="none"/>
        </w:rPr>
        <w:t xml:space="preserve"> of Convention provisions </w:t>
      </w:r>
      <w:r>
        <w:rPr>
          <w:b w:val="0"/>
          <w:i w:val="0"/>
          <w:smallCaps w:val="0"/>
          <w:strike w:val="0"/>
          <w:sz w:val="22"/>
          <w:u w:val="single"/>
        </w:rPr>
        <w:t>can</w:t>
      </w:r>
      <w:r>
        <w:rPr>
          <w:b w:val="0"/>
          <w:i w:val="0"/>
          <w:smallCaps w:val="0"/>
          <w:strike w:val="0"/>
          <w:sz w:val="16"/>
          <w:u w:val="none"/>
        </w:rPr>
        <w:t xml:space="preserve"> also </w:t>
      </w:r>
      <w:r>
        <w:rPr>
          <w:b/>
          <w:i w:val="0"/>
          <w:smallCaps w:val="0"/>
          <w:strike w:val="0"/>
          <w:sz w:val="24"/>
          <w:u w:val="single"/>
        </w:rPr>
        <w:t>serve this end</w:t>
      </w:r>
      <w:r>
        <w:rPr>
          <w:b w:val="0"/>
          <w:i w:val="0"/>
          <w:smallCaps w:val="0"/>
          <w:strike w:val="0"/>
          <w:sz w:val="16"/>
          <w:u w:val="none"/>
        </w:rPr>
        <w:t xml:space="preserve">. At the most fundamental level, the Convention furthers </w:t>
      </w:r>
      <w:r>
        <w:rPr>
          <w:b w:val="0"/>
          <w:i w:val="0"/>
          <w:smallCaps w:val="0"/>
          <w:strike w:val="0"/>
          <w:sz w:val="22"/>
          <w:u w:val="single"/>
        </w:rPr>
        <w:t xml:space="preserve">the </w:t>
      </w:r>
      <w:r>
        <w:rPr>
          <w:b/>
          <w:i w:val="0"/>
          <w:smallCaps w:val="0"/>
          <w:strike w:val="0"/>
          <w:sz w:val="24"/>
          <w:highlight w:val="cyan"/>
          <w:u w:val="single"/>
        </w:rPr>
        <w:t>rule of law</w:t>
      </w:r>
      <w:r>
        <w:rPr>
          <w:b w:val="0"/>
          <w:i w:val="0"/>
          <w:smallCaps w:val="0"/>
          <w:strike w:val="0"/>
          <w:sz w:val="22"/>
          <w:u w:val="single"/>
        </w:rPr>
        <w:t xml:space="preserve"> in the </w:t>
      </w:r>
      <w:r>
        <w:rPr>
          <w:b/>
          <w:i w:val="0"/>
          <w:smallCaps w:val="0"/>
          <w:strike w:val="0"/>
          <w:sz w:val="24"/>
          <w:u w:val="single"/>
        </w:rPr>
        <w:t>world</w:t>
      </w:r>
      <w:r>
        <w:rPr>
          <w:b w:val="0"/>
          <w:i w:val="0"/>
          <w:smallCaps w:val="0"/>
          <w:strike w:val="0"/>
          <w:sz w:val="16"/>
          <w:u w:val="none"/>
        </w:rPr>
        <w:t xml:space="preserve"> – the values of using agreed-upon rules and procedures to </w:t>
      </w:r>
      <w:r>
        <w:rPr>
          <w:b w:val="0"/>
          <w:i w:val="0"/>
          <w:smallCaps w:val="0"/>
          <w:strike w:val="0"/>
          <w:sz w:val="22"/>
          <w:highlight w:val="cyan"/>
          <w:u w:val="single"/>
        </w:rPr>
        <w:t xml:space="preserve">resist </w:t>
      </w:r>
      <w:r>
        <w:rPr>
          <w:b/>
          <w:i w:val="0"/>
          <w:smallCaps w:val="0"/>
          <w:strike w:val="0"/>
          <w:sz w:val="24"/>
          <w:highlight w:val="cyan"/>
          <w:u w:val="single"/>
        </w:rPr>
        <w:t>unilateral</w:t>
      </w:r>
      <w:r>
        <w:rPr>
          <w:b w:val="0"/>
          <w:i w:val="0"/>
          <w:smallCaps w:val="0"/>
          <w:strike w:val="0"/>
          <w:sz w:val="22"/>
          <w:highlight w:val="cyan"/>
          <w:u w:val="single"/>
        </w:rPr>
        <w:t xml:space="preserve"> assertions</w:t>
      </w:r>
      <w:r>
        <w:rPr>
          <w:b w:val="0"/>
          <w:i w:val="0"/>
          <w:smallCaps w:val="0"/>
          <w:strike w:val="0"/>
          <w:sz w:val="22"/>
          <w:u w:val="single"/>
        </w:rPr>
        <w:t xml:space="preserve"> of jurisdiction</w:t>
      </w:r>
      <w:r>
        <w:rPr>
          <w:b w:val="0"/>
          <w:i w:val="0"/>
          <w:smallCaps w:val="0"/>
          <w:strike w:val="0"/>
          <w:sz w:val="16"/>
          <w:u w:val="none"/>
        </w:rPr>
        <w:t xml:space="preserve"> or sovereign control, </w:t>
      </w:r>
      <w:r>
        <w:rPr>
          <w:b w:val="0"/>
          <w:i w:val="0"/>
          <w:smallCaps w:val="0"/>
          <w:strike w:val="0"/>
          <w:sz w:val="22"/>
          <w:highlight w:val="cyan"/>
          <w:u w:val="single"/>
        </w:rPr>
        <w:t>resolving</w:t>
      </w:r>
      <w:r>
        <w:rPr>
          <w:b w:val="0"/>
          <w:i w:val="0"/>
          <w:smallCaps w:val="0"/>
          <w:strike w:val="0"/>
          <w:sz w:val="22"/>
          <w:u w:val="single"/>
        </w:rPr>
        <w:t xml:space="preserve"> differences </w:t>
      </w:r>
      <w:r>
        <w:rPr>
          <w:b/>
          <w:i w:val="0"/>
          <w:smallCaps w:val="0"/>
          <w:strike w:val="0"/>
          <w:sz w:val="24"/>
          <w:highlight w:val="cyan"/>
          <w:u w:val="single"/>
        </w:rPr>
        <w:t>even-handedly</w:t>
      </w:r>
      <w:r>
        <w:rPr>
          <w:b w:val="0"/>
          <w:i w:val="0"/>
          <w:smallCaps w:val="0"/>
          <w:strike w:val="0"/>
          <w:sz w:val="22"/>
          <w:highlight w:val="cyan"/>
          <w:u w:val="single"/>
        </w:rPr>
        <w:t xml:space="preserve"> according to </w:t>
      </w:r>
      <w:r>
        <w:rPr>
          <w:b/>
          <w:i w:val="0"/>
          <w:smallCaps w:val="0"/>
          <w:strike w:val="0"/>
          <w:sz w:val="24"/>
          <w:highlight w:val="cyan"/>
          <w:u w:val="single"/>
        </w:rPr>
        <w:t>established rules</w:t>
      </w:r>
      <w:r>
        <w:rPr>
          <w:b w:val="0"/>
          <w:i w:val="0"/>
          <w:smallCaps w:val="0"/>
          <w:strike w:val="0"/>
          <w:sz w:val="22"/>
          <w:u w:val="single"/>
        </w:rPr>
        <w:t xml:space="preserve">, and </w:t>
      </w:r>
      <w:r>
        <w:rPr>
          <w:b w:val="0"/>
          <w:i w:val="0"/>
          <w:smallCaps w:val="0"/>
          <w:strike w:val="0"/>
          <w:sz w:val="22"/>
          <w:highlight w:val="cyan"/>
          <w:u w:val="single"/>
        </w:rPr>
        <w:t xml:space="preserve">providing </w:t>
      </w:r>
      <w:r>
        <w:rPr>
          <w:b/>
          <w:i w:val="0"/>
          <w:smallCaps w:val="0"/>
          <w:strike w:val="0"/>
          <w:sz w:val="24"/>
          <w:highlight w:val="cyan"/>
          <w:u w:val="single"/>
        </w:rPr>
        <w:t>stable expectations</w:t>
      </w:r>
      <w:r>
        <w:rPr>
          <w:b w:val="0"/>
          <w:i w:val="0"/>
          <w:smallCaps w:val="0"/>
          <w:strike w:val="0"/>
          <w:sz w:val="22"/>
          <w:u w:val="single"/>
        </w:rPr>
        <w:t xml:space="preserve"> for international actors. </w:t>
      </w:r>
      <w:r>
        <w:rPr>
          <w:b w:val="0"/>
          <w:i w:val="0"/>
          <w:smallCaps w:val="0"/>
          <w:strike w:val="0"/>
          <w:sz w:val="22"/>
          <w:highlight w:val="cyan"/>
          <w:u w:val="single"/>
        </w:rPr>
        <w:t>Giving full effect</w:t>
      </w:r>
      <w:r>
        <w:rPr>
          <w:b w:val="0"/>
          <w:i w:val="0"/>
          <w:smallCaps w:val="0"/>
          <w:strike w:val="0"/>
          <w:sz w:val="16"/>
          <w:u w:val="none"/>
        </w:rPr>
        <w:t xml:space="preserve"> to provisions for third-party dispute settlement </w:t>
      </w:r>
      <w:r>
        <w:rPr>
          <w:b w:val="0"/>
          <w:i w:val="0"/>
          <w:smallCaps w:val="0"/>
          <w:strike w:val="0"/>
          <w:sz w:val="22"/>
          <w:u w:val="single"/>
        </w:rPr>
        <w:t xml:space="preserve">at the </w:t>
      </w:r>
      <w:r>
        <w:rPr>
          <w:b/>
          <w:i w:val="0"/>
          <w:smallCaps w:val="0"/>
          <w:strike w:val="0"/>
          <w:sz w:val="24"/>
          <w:u w:val="single"/>
        </w:rPr>
        <w:t>international</w:t>
      </w:r>
      <w:r>
        <w:rPr>
          <w:b w:val="0"/>
          <w:i w:val="0"/>
          <w:smallCaps w:val="0"/>
          <w:strike w:val="0"/>
          <w:sz w:val="16"/>
          <w:u w:val="none"/>
        </w:rPr>
        <w:t xml:space="preserve"> and national </w:t>
      </w:r>
      <w:r>
        <w:rPr>
          <w:b w:val="0"/>
          <w:i w:val="0"/>
          <w:smallCaps w:val="0"/>
          <w:strike w:val="0"/>
          <w:sz w:val="22"/>
          <w:u w:val="single"/>
        </w:rPr>
        <w:t xml:space="preserve">levels would </w:t>
      </w:r>
      <w:r>
        <w:rPr>
          <w:b w:val="0"/>
          <w:i w:val="0"/>
          <w:smallCaps w:val="0"/>
          <w:strike w:val="0"/>
          <w:sz w:val="22"/>
          <w:highlight w:val="cyan"/>
          <w:u w:val="single"/>
        </w:rPr>
        <w:t>help</w:t>
      </w:r>
      <w:r>
        <w:rPr>
          <w:b w:val="0"/>
          <w:i w:val="0"/>
          <w:smallCaps w:val="0"/>
          <w:strike w:val="0"/>
          <w:sz w:val="22"/>
          <w:u w:val="single"/>
        </w:rPr>
        <w:t xml:space="preserve"> </w:t>
      </w:r>
      <w:r>
        <w:rPr>
          <w:b/>
          <w:i w:val="0"/>
          <w:smallCaps w:val="0"/>
          <w:strike w:val="0"/>
          <w:sz w:val="24"/>
          <w:u w:val="single"/>
        </w:rPr>
        <w:t xml:space="preserve">further </w:t>
      </w:r>
      <w:r>
        <w:rPr>
          <w:b/>
          <w:i w:val="0"/>
          <w:smallCaps w:val="0"/>
          <w:strike w:val="0"/>
          <w:sz w:val="24"/>
          <w:highlight w:val="cyan"/>
          <w:u w:val="single"/>
        </w:rPr>
        <w:t>these values</w:t>
      </w:r>
      <w:r>
        <w:rPr>
          <w:b w:val="0"/>
          <w:i w:val="0"/>
          <w:smallCaps w:val="0"/>
          <w:strike w:val="0"/>
          <w:sz w:val="16"/>
          <w:u w:val="none"/>
        </w:rPr>
        <w:t>.</w:t>
      </w:r>
    </w:p>
    <w:p>
      <w:pPr>
        <w:pStyle w:val="Caption"/>
      </w:pPr>
      <w:r>
        <w:t>Source: Treaties CP - Michigan 2024 HHRS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