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Interpreting the </w:t>
      </w:r>
      <w:r>
        <w:rPr>
          <w:b/>
          <w:i w:val="0"/>
          <w:smallCaps w:val="0"/>
          <w:strike w:val="0"/>
          <w:sz w:val="26"/>
          <w:u w:val="single"/>
        </w:rPr>
        <w:t>commitment</w:t>
      </w:r>
      <w:r>
        <w:rPr>
          <w:b/>
          <w:i w:val="0"/>
          <w:smallCaps w:val="0"/>
          <w:strike w:val="0"/>
          <w:sz w:val="26"/>
          <w:u w:val="none"/>
        </w:rPr>
        <w:t xml:space="preserve"> and </w:t>
      </w:r>
      <w:r>
        <w:rPr>
          <w:b/>
          <w:i w:val="0"/>
          <w:smallCaps w:val="0"/>
          <w:strike w:val="0"/>
          <w:sz w:val="26"/>
          <w:u w:val="single"/>
        </w:rPr>
        <w:t>implementing legislation</w:t>
      </w:r>
      <w:r>
        <w:rPr>
          <w:b/>
          <w:i w:val="0"/>
          <w:smallCaps w:val="0"/>
          <w:strike w:val="0"/>
          <w:sz w:val="26"/>
          <w:u w:val="none"/>
        </w:rPr>
        <w:t xml:space="preserve"> as synonymous doesn’t establish precedent for </w:t>
      </w:r>
      <w:r>
        <w:rPr>
          <w:b/>
          <w:i w:val="0"/>
          <w:smallCaps w:val="0"/>
          <w:strike w:val="0"/>
          <w:sz w:val="26"/>
          <w:u w:val="single"/>
        </w:rPr>
        <w:t>non-self-execution</w:t>
      </w:r>
      <w:r>
        <w:rPr>
          <w:b/>
          <w:i w:val="0"/>
          <w:smallCaps w:val="0"/>
          <w:strike w:val="0"/>
          <w:sz w:val="26"/>
          <w:u w:val="none"/>
        </w:rPr>
        <w:t xml:space="preserve">. Separating </w:t>
      </w:r>
      <w:r>
        <w:rPr>
          <w:b/>
          <w:i w:val="0"/>
          <w:smallCaps w:val="0"/>
          <w:strike w:val="0"/>
          <w:sz w:val="26"/>
          <w:u w:val="single"/>
        </w:rPr>
        <w:t>treaty commitment</w:t>
      </w:r>
      <w:r>
        <w:rPr>
          <w:b/>
          <w:i w:val="0"/>
          <w:smallCaps w:val="0"/>
          <w:strike w:val="0"/>
          <w:sz w:val="26"/>
          <w:u w:val="none"/>
        </w:rPr>
        <w:t xml:space="preserve"> from </w:t>
      </w:r>
      <w:r>
        <w:rPr>
          <w:b/>
          <w:i w:val="0"/>
          <w:smallCaps w:val="0"/>
          <w:strike w:val="0"/>
          <w:sz w:val="26"/>
          <w:u w:val="single"/>
        </w:rPr>
        <w:t>compliance</w:t>
      </w:r>
      <w:r>
        <w:rPr>
          <w:b/>
          <w:i w:val="0"/>
          <w:smallCaps w:val="0"/>
          <w:strike w:val="0"/>
          <w:sz w:val="26"/>
          <w:u w:val="none"/>
        </w:rPr>
        <w:t xml:space="preserve"> is critical.</w:t>
      </w:r>
    </w:p>
    <w:p>
      <w:pPr>
        <w:spacing w:after="80"/>
      </w:pPr>
      <w:r>
        <w:rPr>
          <w:b/>
          <w:i w:val="0"/>
          <w:smallCaps w:val="0"/>
          <w:strike w:val="0"/>
          <w:sz w:val="26"/>
          <w:u w:val="none"/>
        </w:rPr>
        <w:t>Cohen ’15</w:t>
      </w:r>
      <w:r>
        <w:rPr>
          <w:b w:val="0"/>
          <w:i w:val="0"/>
          <w:smallCaps w:val="0"/>
          <w:strike w:val="0"/>
          <w:u w:val="none"/>
        </w:rPr>
        <w:t xml:space="preserve"> [Harlan Grant; Gabriel M. </w:t>
      </w:r>
      <w:r>
        <w:rPr>
          <w:b w:val="0"/>
          <w:i w:val="0"/>
          <w:smallCaps w:val="0"/>
          <w:strike w:val="0"/>
          <w:u w:val="none"/>
        </w:rPr>
        <w:t>Wilner</w:t>
      </w:r>
      <w:r>
        <w:rPr>
          <w:b w:val="0"/>
          <w:i w:val="0"/>
          <w:smallCaps w:val="0"/>
          <w:strike w:val="0"/>
          <w:u w:val="none"/>
        </w:rPr>
        <w:t xml:space="preserve">/UGA Foundation Professor in International Law at University of Georgia; December 2015; “The Death of Deference and the Domestication of Treaty Law”; </w:t>
      </w:r>
      <w:r>
        <w:rPr>
          <w:b w:val="0"/>
          <w:i w:val="0"/>
          <w:smallCaps w:val="0"/>
          <w:strike w:val="0"/>
          <w:u w:val="none"/>
        </w:rPr>
        <w:t>; BYU Law Review, Vol. 2015, Issue 6; accessed 3/16/21; TV]</w:t>
      </w:r>
    </w:p>
    <w:p>
      <w:pPr>
        <w:spacing w:after="60"/>
      </w:pPr>
      <w:r>
        <w:rPr>
          <w:b w:val="0"/>
          <w:i w:val="0"/>
          <w:smallCaps w:val="0"/>
          <w:strike w:val="0"/>
          <w:sz w:val="16"/>
          <w:u w:val="none"/>
        </w:rPr>
        <w:t xml:space="preserve">But this may not be the best interpretation of these decisions. </w:t>
      </w:r>
      <w:r>
        <w:rPr>
          <w:b w:val="0"/>
          <w:i w:val="0"/>
          <w:smallCaps w:val="0"/>
          <w:strike w:val="0"/>
          <w:sz w:val="22"/>
          <w:u w:val="single"/>
        </w:rPr>
        <w:t xml:space="preserve">In other </w:t>
      </w:r>
      <w:r>
        <w:rPr>
          <w:b/>
          <w:i w:val="0"/>
          <w:smallCaps w:val="0"/>
          <w:strike w:val="0"/>
          <w:sz w:val="24"/>
          <w:u w:val="single"/>
        </w:rPr>
        <w:t>treaty interpretation cases</w:t>
      </w:r>
      <w:r>
        <w:rPr>
          <w:b w:val="0"/>
          <w:i w:val="0"/>
          <w:smallCaps w:val="0"/>
          <w:strike w:val="0"/>
          <w:sz w:val="16"/>
          <w:u w:val="none"/>
        </w:rPr>
        <w:t xml:space="preserve"> during this period, particularly ones concerning the Hague Convention, </w:t>
      </w:r>
      <w:r>
        <w:rPr>
          <w:b w:val="0"/>
          <w:i w:val="0"/>
          <w:smallCaps w:val="0"/>
          <w:strike w:val="0"/>
          <w:sz w:val="22"/>
          <w:u w:val="single"/>
        </w:rPr>
        <w:t>the Court</w:t>
      </w:r>
      <w:r>
        <w:rPr>
          <w:b w:val="0"/>
          <w:i w:val="0"/>
          <w:smallCaps w:val="0"/>
          <w:strike w:val="0"/>
          <w:sz w:val="16"/>
          <w:u w:val="none"/>
        </w:rPr>
        <w:t xml:space="preserve"> actually </w:t>
      </w:r>
      <w:r>
        <w:rPr>
          <w:b w:val="0"/>
          <w:i w:val="0"/>
          <w:smallCaps w:val="0"/>
          <w:strike w:val="0"/>
          <w:sz w:val="22"/>
          <w:u w:val="single"/>
        </w:rPr>
        <w:t xml:space="preserve">seems to be </w:t>
      </w:r>
      <w:r>
        <w:rPr>
          <w:b/>
          <w:i w:val="0"/>
          <w:smallCaps w:val="0"/>
          <w:strike w:val="0"/>
          <w:sz w:val="24"/>
          <w:u w:val="single"/>
        </w:rPr>
        <w:t>embracing international standards</w:t>
      </w:r>
      <w:r>
        <w:rPr>
          <w:b w:val="0"/>
          <w:i w:val="0"/>
          <w:smallCaps w:val="0"/>
          <w:strike w:val="0"/>
          <w:sz w:val="22"/>
          <w:u w:val="single"/>
        </w:rPr>
        <w:t xml:space="preserve"> of treaty interpretation like</w:t>
      </w:r>
      <w:r>
        <w:rPr>
          <w:b w:val="0"/>
          <w:i w:val="0"/>
          <w:smallCaps w:val="0"/>
          <w:strike w:val="0"/>
          <w:sz w:val="16"/>
          <w:u w:val="none"/>
        </w:rPr>
        <w:t xml:space="preserve"> those in </w:t>
      </w:r>
      <w:r>
        <w:rPr>
          <w:b w:val="0"/>
          <w:i w:val="0"/>
          <w:smallCaps w:val="0"/>
          <w:strike w:val="0"/>
          <w:sz w:val="22"/>
          <w:u w:val="single"/>
        </w:rPr>
        <w:t>the Vienna Convention</w:t>
      </w:r>
      <w:r>
        <w:rPr>
          <w:b w:val="0"/>
          <w:i w:val="0"/>
          <w:smallCaps w:val="0"/>
          <w:strike w:val="0"/>
          <w:sz w:val="16"/>
          <w:u w:val="none"/>
        </w:rPr>
        <w:t xml:space="preserve"> on the Law of Treaties.104 The better reading of opinions like BG Group and Bond, I would suggest, is that </w:t>
      </w:r>
      <w:r>
        <w:rPr>
          <w:b w:val="0"/>
          <w:i w:val="0"/>
          <w:smallCaps w:val="0"/>
          <w:strike w:val="0"/>
          <w:sz w:val="22"/>
          <w:highlight w:val="cyan"/>
          <w:u w:val="single"/>
        </w:rPr>
        <w:t>the Court is</w:t>
      </w:r>
      <w:r>
        <w:rPr>
          <w:b w:val="0"/>
          <w:i w:val="0"/>
          <w:smallCaps w:val="0"/>
          <w:strike w:val="0"/>
          <w:sz w:val="22"/>
          <w:u w:val="single"/>
        </w:rPr>
        <w:t xml:space="preserve"> increasingly </w:t>
      </w:r>
      <w:r>
        <w:rPr>
          <w:b/>
          <w:i w:val="0"/>
          <w:smallCaps w:val="0"/>
          <w:strike w:val="0"/>
          <w:sz w:val="24"/>
          <w:highlight w:val="cyan"/>
          <w:u w:val="single"/>
        </w:rPr>
        <w:t>separating interpretation</w:t>
      </w:r>
      <w:r>
        <w:rPr>
          <w:b w:val="0"/>
          <w:i w:val="0"/>
          <w:smallCaps w:val="0"/>
          <w:strike w:val="0"/>
          <w:sz w:val="22"/>
          <w:highlight w:val="cyan"/>
          <w:u w:val="single"/>
        </w:rPr>
        <w:t xml:space="preserve"> of the </w:t>
      </w:r>
      <w:r>
        <w:rPr>
          <w:b/>
          <w:i w:val="0"/>
          <w:smallCaps w:val="0"/>
          <w:strike w:val="0"/>
          <w:sz w:val="24"/>
          <w:highlight w:val="cyan"/>
          <w:u w:val="single"/>
        </w:rPr>
        <w:t>treaty</w:t>
      </w:r>
      <w:r>
        <w:rPr>
          <w:b w:val="0"/>
          <w:i w:val="0"/>
          <w:smallCaps w:val="0"/>
          <w:strike w:val="0"/>
          <w:sz w:val="22"/>
          <w:highlight w:val="cyan"/>
          <w:u w:val="single"/>
        </w:rPr>
        <w:t xml:space="preserve"> from</w:t>
      </w:r>
      <w:r>
        <w:rPr>
          <w:b w:val="0"/>
          <w:i w:val="0"/>
          <w:smallCaps w:val="0"/>
          <w:strike w:val="0"/>
          <w:sz w:val="22"/>
          <w:u w:val="single"/>
        </w:rPr>
        <w:t xml:space="preserve"> interpretation of </w:t>
      </w:r>
      <w:r>
        <w:rPr>
          <w:b/>
          <w:i w:val="0"/>
          <w:smallCaps w:val="0"/>
          <w:strike w:val="0"/>
          <w:sz w:val="24"/>
          <w:highlight w:val="cyan"/>
          <w:u w:val="single"/>
        </w:rPr>
        <w:t>domestic obligations</w:t>
      </w:r>
      <w:r>
        <w:rPr>
          <w:b w:val="0"/>
          <w:i w:val="0"/>
          <w:smallCaps w:val="0"/>
          <w:strike w:val="0"/>
          <w:sz w:val="16"/>
          <w:highlight w:val="cyan"/>
          <w:u w:val="none"/>
        </w:rPr>
        <w:t xml:space="preserve"> </w:t>
      </w:r>
      <w:r>
        <w:rPr>
          <w:b w:val="0"/>
          <w:i w:val="0"/>
          <w:smallCaps w:val="0"/>
          <w:strike w:val="0"/>
          <w:sz w:val="22"/>
          <w:highlight w:val="cyan"/>
          <w:u w:val="single"/>
        </w:rPr>
        <w:t>and</w:t>
      </w:r>
      <w:r>
        <w:rPr>
          <w:b w:val="0"/>
          <w:i w:val="0"/>
          <w:smallCaps w:val="0"/>
          <w:strike w:val="0"/>
          <w:sz w:val="16"/>
          <w:u w:val="none"/>
        </w:rPr>
        <w:t xml:space="preserve">, in particular, </w:t>
      </w:r>
      <w:r>
        <w:rPr>
          <w:b w:val="0"/>
          <w:i w:val="0"/>
          <w:smallCaps w:val="0"/>
          <w:strike w:val="0"/>
          <w:sz w:val="22"/>
          <w:highlight w:val="cyan"/>
          <w:u w:val="single"/>
        </w:rPr>
        <w:t>treaty interpretation from</w:t>
      </w:r>
      <w:r>
        <w:rPr>
          <w:b w:val="0"/>
          <w:i w:val="0"/>
          <w:smallCaps w:val="0"/>
          <w:strike w:val="0"/>
          <w:sz w:val="22"/>
          <w:u w:val="single"/>
        </w:rPr>
        <w:t xml:space="preserve"> interpretation of the </w:t>
      </w:r>
      <w:r>
        <w:rPr>
          <w:b/>
          <w:i w:val="0"/>
          <w:smallCaps w:val="0"/>
          <w:strike w:val="0"/>
          <w:sz w:val="24"/>
          <w:highlight w:val="cyan"/>
          <w:u w:val="single"/>
        </w:rPr>
        <w:t>implementing legislation</w:t>
      </w:r>
      <w:r>
        <w:rPr>
          <w:b/>
          <w:i w:val="0"/>
          <w:smallCaps w:val="0"/>
          <w:strike w:val="0"/>
          <w:sz w:val="24"/>
          <w:u w:val="single"/>
        </w:rPr>
        <w:t>.</w:t>
      </w:r>
      <w:r>
        <w:rPr>
          <w:b w:val="0"/>
          <w:i w:val="0"/>
          <w:smallCaps w:val="0"/>
          <w:strike w:val="0"/>
          <w:sz w:val="16"/>
          <w:u w:val="none"/>
        </w:rPr>
        <w:t xml:space="preserve">105 And </w:t>
      </w:r>
      <w:r>
        <w:rPr>
          <w:b w:val="0"/>
          <w:i w:val="0"/>
          <w:smallCaps w:val="0"/>
          <w:strike w:val="0"/>
          <w:sz w:val="22"/>
          <w:u w:val="single"/>
        </w:rPr>
        <w:t>cases that some might suggest should turn on interpretation of a treaty are</w:t>
      </w:r>
      <w:r>
        <w:rPr>
          <w:b w:val="0"/>
          <w:i w:val="0"/>
          <w:smallCaps w:val="0"/>
          <w:strike w:val="0"/>
          <w:sz w:val="16"/>
          <w:u w:val="none"/>
        </w:rPr>
        <w:t xml:space="preserve"> instead </w:t>
      </w:r>
      <w:r>
        <w:rPr>
          <w:b w:val="0"/>
          <w:i w:val="0"/>
          <w:smallCaps w:val="0"/>
          <w:strike w:val="0"/>
          <w:sz w:val="22"/>
          <w:u w:val="single"/>
        </w:rPr>
        <w:t>turning on something else.</w:t>
      </w:r>
    </w:p>
    <w:p>
      <w:pPr>
        <w:spacing w:after="60"/>
      </w:pPr>
      <w:r>
        <w:rPr>
          <w:b w:val="0"/>
          <w:i w:val="0"/>
          <w:smallCaps w:val="0"/>
          <w:strike w:val="0"/>
          <w:sz w:val="16"/>
          <w:u w:val="none"/>
        </w:rPr>
        <w:t>Thus</w:t>
      </w:r>
      <w:r>
        <w:rPr>
          <w:b w:val="0"/>
          <w:i w:val="0"/>
          <w:smallCaps w:val="0"/>
          <w:strike w:val="0"/>
          <w:sz w:val="16"/>
          <w:u w:val="none"/>
        </w:rPr>
        <w:t xml:space="preserve"> in Bond, Chief Justice </w:t>
      </w:r>
      <w:r>
        <w:rPr>
          <w:b w:val="0"/>
          <w:i w:val="0"/>
          <w:smallCaps w:val="0"/>
          <w:strike w:val="0"/>
          <w:sz w:val="22"/>
          <w:highlight w:val="cyan"/>
          <w:u w:val="single"/>
        </w:rPr>
        <w:t xml:space="preserve">Roberts </w:t>
      </w:r>
      <w:r>
        <w:rPr>
          <w:b/>
          <w:i w:val="0"/>
          <w:smallCaps w:val="0"/>
          <w:strike w:val="0"/>
          <w:sz w:val="24"/>
          <w:highlight w:val="cyan"/>
          <w:u w:val="single"/>
        </w:rPr>
        <w:t>distinguishes</w:t>
      </w:r>
      <w:r>
        <w:rPr>
          <w:b w:val="0"/>
          <w:i w:val="0"/>
          <w:smallCaps w:val="0"/>
          <w:strike w:val="0"/>
          <w:sz w:val="22"/>
          <w:highlight w:val="cyan"/>
          <w:u w:val="single"/>
        </w:rPr>
        <w:t xml:space="preserve"> between the</w:t>
      </w:r>
      <w:r>
        <w:rPr>
          <w:b w:val="0"/>
          <w:i w:val="0"/>
          <w:smallCaps w:val="0"/>
          <w:strike w:val="0"/>
          <w:sz w:val="22"/>
          <w:u w:val="single"/>
        </w:rPr>
        <w:t xml:space="preserve"> Chemical Weapons </w:t>
      </w:r>
      <w:r>
        <w:rPr>
          <w:b w:val="0"/>
          <w:i w:val="0"/>
          <w:smallCaps w:val="0"/>
          <w:strike w:val="0"/>
          <w:sz w:val="22"/>
          <w:highlight w:val="cyan"/>
          <w:u w:val="single"/>
        </w:rPr>
        <w:t>Convention and</w:t>
      </w:r>
      <w:r>
        <w:rPr>
          <w:b w:val="0"/>
          <w:i w:val="0"/>
          <w:smallCaps w:val="0"/>
          <w:strike w:val="0"/>
          <w:sz w:val="22"/>
          <w:u w:val="single"/>
        </w:rPr>
        <w:t xml:space="preserve"> the </w:t>
      </w:r>
      <w:r>
        <w:rPr>
          <w:b/>
          <w:i w:val="0"/>
          <w:smallCaps w:val="0"/>
          <w:strike w:val="0"/>
          <w:sz w:val="24"/>
          <w:highlight w:val="cyan"/>
          <w:u w:val="single"/>
        </w:rPr>
        <w:t>implementing legislation</w:t>
      </w:r>
      <w:r>
        <w:rPr>
          <w:b w:val="0"/>
          <w:i w:val="0"/>
          <w:smallCaps w:val="0"/>
          <w:strike w:val="0"/>
          <w:sz w:val="16"/>
          <w:u w:val="none"/>
        </w:rPr>
        <w:t xml:space="preserve">, </w:t>
      </w:r>
      <w:r>
        <w:rPr>
          <w:b w:val="0"/>
          <w:i w:val="0"/>
          <w:smallCaps w:val="0"/>
          <w:strike w:val="0"/>
          <w:sz w:val="22"/>
          <w:u w:val="single"/>
        </w:rPr>
        <w:t>the Chemical Weapons Convention Implementation Act, even though the language</w:t>
      </w:r>
      <w:r>
        <w:rPr>
          <w:b w:val="0"/>
          <w:i w:val="0"/>
          <w:smallCaps w:val="0"/>
          <w:strike w:val="0"/>
          <w:sz w:val="16"/>
          <w:u w:val="none"/>
        </w:rPr>
        <w:t xml:space="preserve"> of the two </w:t>
      </w:r>
      <w:r>
        <w:rPr>
          <w:b w:val="0"/>
          <w:i w:val="0"/>
          <w:smallCaps w:val="0"/>
          <w:strike w:val="0"/>
          <w:sz w:val="22"/>
          <w:u w:val="single"/>
        </w:rPr>
        <w:t xml:space="preserve">is </w:t>
      </w:r>
      <w:r>
        <w:rPr>
          <w:b/>
          <w:i w:val="0"/>
          <w:smallCaps w:val="0"/>
          <w:strike w:val="0"/>
          <w:sz w:val="24"/>
          <w:u w:val="single"/>
        </w:rPr>
        <w:t>almost identical</w:t>
      </w:r>
      <w:r>
        <w:rPr>
          <w:b w:val="0"/>
          <w:i w:val="0"/>
          <w:smallCaps w:val="0"/>
          <w:strike w:val="0"/>
          <w:sz w:val="16"/>
          <w:u w:val="none"/>
        </w:rPr>
        <w:t xml:space="preserve">. 106 </w:t>
      </w:r>
      <w:r>
        <w:rPr>
          <w:b w:val="0"/>
          <w:i w:val="0"/>
          <w:smallCaps w:val="0"/>
          <w:strike w:val="0"/>
          <w:sz w:val="22"/>
          <w:u w:val="single"/>
        </w:rPr>
        <w:t>He</w:t>
      </w:r>
      <w:r>
        <w:rPr>
          <w:b w:val="0"/>
          <w:i w:val="0"/>
          <w:smallCaps w:val="0"/>
          <w:strike w:val="0"/>
          <w:sz w:val="16"/>
          <w:u w:val="none"/>
        </w:rPr>
        <w:t xml:space="preserve"> then </w:t>
      </w:r>
      <w:r>
        <w:rPr>
          <w:b w:val="0"/>
          <w:i w:val="0"/>
          <w:smallCaps w:val="0"/>
          <w:strike w:val="0"/>
          <w:sz w:val="22"/>
          <w:u w:val="single"/>
        </w:rPr>
        <w:t xml:space="preserve">focuses on </w:t>
      </w:r>
      <w:r>
        <w:rPr>
          <w:b w:val="0"/>
          <w:i w:val="0"/>
          <w:smallCaps w:val="0"/>
          <w:strike w:val="0"/>
          <w:sz w:val="22"/>
          <w:highlight w:val="cyan"/>
          <w:u w:val="single"/>
        </w:rPr>
        <w:t>the latter</w:t>
      </w:r>
      <w:r>
        <w:rPr>
          <w:b w:val="0"/>
          <w:i w:val="0"/>
          <w:smallCaps w:val="0"/>
          <w:strike w:val="0"/>
          <w:sz w:val="22"/>
          <w:u w:val="single"/>
        </w:rPr>
        <w:t>, which,</w:t>
      </w:r>
      <w:r>
        <w:rPr>
          <w:b w:val="0"/>
          <w:i w:val="0"/>
          <w:smallCaps w:val="0"/>
          <w:strike w:val="0"/>
          <w:sz w:val="16"/>
          <w:u w:val="none"/>
        </w:rPr>
        <w:t xml:space="preserve"> as an act of Congress, </w:t>
      </w:r>
      <w:r>
        <w:rPr>
          <w:b w:val="0"/>
          <w:i w:val="0"/>
          <w:smallCaps w:val="0"/>
          <w:strike w:val="0"/>
          <w:sz w:val="22"/>
          <w:highlight w:val="cyan"/>
          <w:u w:val="single"/>
        </w:rPr>
        <w:t xml:space="preserve">is subject to </w:t>
      </w:r>
      <w:r>
        <w:rPr>
          <w:b/>
          <w:i w:val="0"/>
          <w:smallCaps w:val="0"/>
          <w:strike w:val="0"/>
          <w:sz w:val="24"/>
          <w:highlight w:val="cyan"/>
          <w:u w:val="single"/>
        </w:rPr>
        <w:t>ordinary</w:t>
      </w:r>
      <w:r>
        <w:rPr>
          <w:b/>
          <w:i w:val="0"/>
          <w:smallCaps w:val="0"/>
          <w:strike w:val="0"/>
          <w:sz w:val="24"/>
          <w:u w:val="single"/>
        </w:rPr>
        <w:t xml:space="preserve"> methods</w:t>
      </w:r>
      <w:r>
        <w:rPr>
          <w:b w:val="0"/>
          <w:i w:val="0"/>
          <w:smallCaps w:val="0"/>
          <w:strike w:val="0"/>
          <w:sz w:val="22"/>
          <w:u w:val="single"/>
        </w:rPr>
        <w:t xml:space="preserve"> of </w:t>
      </w:r>
      <w:r>
        <w:rPr>
          <w:b/>
          <w:i w:val="0"/>
          <w:smallCaps w:val="0"/>
          <w:strike w:val="0"/>
          <w:sz w:val="24"/>
          <w:highlight w:val="cyan"/>
          <w:u w:val="single"/>
        </w:rPr>
        <w:t>statutory interpretation</w:t>
      </w:r>
      <w:r>
        <w:rPr>
          <w:b w:val="0"/>
          <w:i w:val="0"/>
          <w:smallCaps w:val="0"/>
          <w:strike w:val="0"/>
          <w:sz w:val="22"/>
          <w:u w:val="single"/>
        </w:rPr>
        <w:t>, including</w:t>
      </w:r>
      <w:r>
        <w:rPr>
          <w:b w:val="0"/>
          <w:i w:val="0"/>
          <w:smallCaps w:val="0"/>
          <w:strike w:val="0"/>
          <w:sz w:val="16"/>
          <w:u w:val="none"/>
        </w:rPr>
        <w:t xml:space="preserve"> application of </w:t>
      </w:r>
      <w:r>
        <w:rPr>
          <w:b w:val="0"/>
          <w:i w:val="0"/>
          <w:smallCaps w:val="0"/>
          <w:strike w:val="0"/>
          <w:sz w:val="22"/>
          <w:u w:val="single"/>
        </w:rPr>
        <w:t>various presumptions</w:t>
      </w:r>
      <w:r>
        <w:rPr>
          <w:b w:val="0"/>
          <w:i w:val="0"/>
          <w:smallCaps w:val="0"/>
          <w:strike w:val="0"/>
          <w:sz w:val="16"/>
          <w:u w:val="none"/>
        </w:rPr>
        <w:t xml:space="preserve">. In this case, the Chief Justice applies a presumption that Congress intends to keep the normal balance of federal-state relations unless it clearly states otherwise,107 finds ambiguity in the term “chemical weapons,”108 and thus determines the statute should not be understood to cover Carol Anne Bond’s “ordinary” attempted poisoning—a matter usually left to state law.109 </w:t>
      </w:r>
      <w:r>
        <w:rPr>
          <w:b w:val="0"/>
          <w:i w:val="0"/>
          <w:smallCaps w:val="0"/>
          <w:strike w:val="0"/>
          <w:sz w:val="22"/>
          <w:u w:val="single"/>
        </w:rPr>
        <w:t>Although Chief Justice Roberts might be inclined to interpret the Chemical Weapons Convention similarly</w:t>
      </w:r>
      <w:r>
        <w:rPr>
          <w:b w:val="0"/>
          <w:i w:val="0"/>
          <w:smallCaps w:val="0"/>
          <w:strike w:val="0"/>
          <w:sz w:val="16"/>
          <w:u w:val="none"/>
        </w:rPr>
        <w:t xml:space="preserve">,110 </w:t>
      </w:r>
      <w:r>
        <w:rPr>
          <w:b w:val="0"/>
          <w:i w:val="0"/>
          <w:smallCaps w:val="0"/>
          <w:strike w:val="0"/>
          <w:sz w:val="22"/>
          <w:u w:val="single"/>
        </w:rPr>
        <w:t xml:space="preserve">the logic is applicable only to a </w:t>
      </w:r>
      <w:r>
        <w:rPr>
          <w:b/>
          <w:i w:val="0"/>
          <w:smallCaps w:val="0"/>
          <w:strike w:val="0"/>
          <w:sz w:val="24"/>
          <w:u w:val="single"/>
        </w:rPr>
        <w:t>congressionally-enacted statute</w:t>
      </w:r>
      <w:r>
        <w:rPr>
          <w:b w:val="0"/>
          <w:i w:val="0"/>
          <w:smallCaps w:val="0"/>
          <w:strike w:val="0"/>
          <w:sz w:val="16"/>
          <w:u w:val="none"/>
        </w:rPr>
        <w:t>.</w:t>
      </w:r>
    </w:p>
    <w:p>
      <w:pPr>
        <w:spacing w:after="60"/>
      </w:pPr>
      <w:r>
        <w:rPr>
          <w:b w:val="0"/>
          <w:i w:val="0"/>
          <w:smallCaps w:val="0"/>
          <w:strike w:val="0"/>
          <w:sz w:val="16"/>
          <w:u w:val="none"/>
        </w:rPr>
        <w:t xml:space="preserve">In BG Group, Justice Breyer uses “ordinary contract”111 principles to determine whether the U.K.-Argentina BIT’s local litigation requirement is a question of “arbitrability” (subject to judicial review) or procedure (left to the arbitrators).112 This might seem odd. </w:t>
      </w:r>
      <w:r>
        <w:rPr>
          <w:b w:val="0"/>
          <w:i w:val="0"/>
          <w:smallCaps w:val="0"/>
          <w:strike w:val="0"/>
          <w:sz w:val="22"/>
          <w:u w:val="single"/>
        </w:rPr>
        <w:t xml:space="preserve">Why should a </w:t>
      </w:r>
      <w:r>
        <w:rPr>
          <w:b w:val="0"/>
          <w:i w:val="0"/>
          <w:smallCaps w:val="0"/>
          <w:strike w:val="0"/>
          <w:sz w:val="22"/>
          <w:u w:val="single"/>
        </w:rPr>
        <w:t xml:space="preserve">treaty between two non-U.S. parties be interpreted according to </w:t>
      </w:r>
      <w:r>
        <w:rPr>
          <w:b/>
          <w:i w:val="0"/>
          <w:smallCaps w:val="0"/>
          <w:strike w:val="0"/>
          <w:sz w:val="24"/>
          <w:u w:val="single"/>
        </w:rPr>
        <w:t>U.S. contract law</w:t>
      </w:r>
      <w:r>
        <w:rPr>
          <w:b w:val="0"/>
          <w:i w:val="0"/>
          <w:smallCaps w:val="0"/>
          <w:strike w:val="0"/>
          <w:sz w:val="22"/>
          <w:u w:val="single"/>
        </w:rPr>
        <w:t xml:space="preserve"> rather than </w:t>
      </w:r>
      <w:r>
        <w:rPr>
          <w:b/>
          <w:i w:val="0"/>
          <w:smallCaps w:val="0"/>
          <w:strike w:val="0"/>
          <w:sz w:val="24"/>
          <w:u w:val="single"/>
        </w:rPr>
        <w:t>international treaty law</w:t>
      </w:r>
      <w:r>
        <w:rPr>
          <w:b w:val="0"/>
          <w:i w:val="0"/>
          <w:smallCaps w:val="0"/>
          <w:strike w:val="0"/>
          <w:sz w:val="22"/>
          <w:u w:val="single"/>
        </w:rPr>
        <w:t>?</w:t>
      </w:r>
      <w:r>
        <w:rPr>
          <w:b w:val="0"/>
          <w:i w:val="0"/>
          <w:smallCaps w:val="0"/>
          <w:strike w:val="0"/>
          <w:sz w:val="16"/>
          <w:u w:val="none"/>
        </w:rPr>
        <w:t xml:space="preserve"> Buried in the opinion is Justice Breyer’s answer. </w:t>
      </w:r>
      <w:r>
        <w:rPr>
          <w:b w:val="0"/>
          <w:i w:val="0"/>
          <w:smallCaps w:val="0"/>
          <w:strike w:val="0"/>
          <w:sz w:val="22"/>
          <w:u w:val="single"/>
        </w:rPr>
        <w:t>When parties appear before U.S. courts</w:t>
      </w:r>
      <w:r>
        <w:rPr>
          <w:b w:val="0"/>
          <w:i w:val="0"/>
          <w:smallCaps w:val="0"/>
          <w:strike w:val="0"/>
          <w:sz w:val="16"/>
          <w:u w:val="none"/>
        </w:rPr>
        <w:t xml:space="preserve"> to have awards confirmed or vacated under international arbitration agreements, </w:t>
      </w:r>
      <w:r>
        <w:rPr>
          <w:b w:val="0"/>
          <w:i w:val="0"/>
          <w:smallCaps w:val="0"/>
          <w:strike w:val="0"/>
          <w:sz w:val="22"/>
          <w:u w:val="single"/>
        </w:rPr>
        <w:t>that process is governed by an American statute,</w:t>
      </w:r>
      <w:r>
        <w:rPr>
          <w:b w:val="0"/>
          <w:i w:val="0"/>
          <w:smallCaps w:val="0"/>
          <w:strike w:val="0"/>
          <w:sz w:val="16"/>
          <w:u w:val="none"/>
        </w:rPr>
        <w:t xml:space="preserve"> the Federal Arbitration Act, 113 </w:t>
      </w:r>
      <w:r>
        <w:rPr>
          <w:b w:val="0"/>
          <w:i w:val="0"/>
          <w:smallCaps w:val="0"/>
          <w:strike w:val="0"/>
          <w:sz w:val="22"/>
          <w:u w:val="single"/>
        </w:rPr>
        <w:t xml:space="preserve">and under that Act, </w:t>
      </w:r>
      <w:r>
        <w:rPr>
          <w:b w:val="0"/>
          <w:i w:val="0"/>
          <w:smallCaps w:val="0"/>
          <w:strike w:val="0"/>
          <w:sz w:val="22"/>
          <w:highlight w:val="cyan"/>
          <w:u w:val="single"/>
        </w:rPr>
        <w:t>the</w:t>
      </w:r>
      <w:r>
        <w:rPr>
          <w:b w:val="0"/>
          <w:i w:val="0"/>
          <w:smallCaps w:val="0"/>
          <w:strike w:val="0"/>
          <w:sz w:val="22"/>
          <w:u w:val="single"/>
        </w:rPr>
        <w:t xml:space="preserve"> federal </w:t>
      </w:r>
      <w:r>
        <w:rPr>
          <w:b w:val="0"/>
          <w:i w:val="0"/>
          <w:smallCaps w:val="0"/>
          <w:strike w:val="0"/>
          <w:sz w:val="22"/>
          <w:highlight w:val="cyan"/>
          <w:u w:val="single"/>
        </w:rPr>
        <w:t>court “should</w:t>
      </w:r>
      <w:r>
        <w:rPr>
          <w:b w:val="0"/>
          <w:i w:val="0"/>
          <w:smallCaps w:val="0"/>
          <w:strike w:val="0"/>
          <w:sz w:val="22"/>
          <w:u w:val="single"/>
        </w:rPr>
        <w:t xml:space="preserve"> normally </w:t>
      </w:r>
      <w:r>
        <w:rPr>
          <w:b w:val="0"/>
          <w:i w:val="0"/>
          <w:smallCaps w:val="0"/>
          <w:strike w:val="0"/>
          <w:sz w:val="22"/>
          <w:highlight w:val="cyan"/>
          <w:u w:val="single"/>
        </w:rPr>
        <w:t>apply</w:t>
      </w:r>
      <w:r>
        <w:rPr>
          <w:b w:val="0"/>
          <w:i w:val="0"/>
          <w:smallCaps w:val="0"/>
          <w:strike w:val="0"/>
          <w:sz w:val="22"/>
          <w:u w:val="single"/>
        </w:rPr>
        <w:t xml:space="preserve"> the presumptions </w:t>
      </w:r>
      <w:r>
        <w:rPr>
          <w:b/>
          <w:i w:val="0"/>
          <w:smallCaps w:val="0"/>
          <w:strike w:val="0"/>
          <w:sz w:val="24"/>
          <w:u w:val="single"/>
        </w:rPr>
        <w:t xml:space="preserve">supplied by </w:t>
      </w:r>
      <w:r>
        <w:rPr>
          <w:b/>
          <w:i w:val="0"/>
          <w:smallCaps w:val="0"/>
          <w:strike w:val="0"/>
          <w:sz w:val="24"/>
          <w:highlight w:val="cyan"/>
          <w:u w:val="single"/>
        </w:rPr>
        <w:t>American law</w:t>
      </w:r>
      <w:r>
        <w:rPr>
          <w:b w:val="0"/>
          <w:i w:val="0"/>
          <w:smallCaps w:val="0"/>
          <w:strike w:val="0"/>
          <w:sz w:val="16"/>
          <w:u w:val="none"/>
        </w:rPr>
        <w:t>.”114 It is thus in that unique posture that the Court interprets the U.K.-Argentina BIT.</w:t>
      </w:r>
    </w:p>
    <w:p>
      <w:pPr>
        <w:spacing w:after="60"/>
      </w:pPr>
      <w:r>
        <w:rPr>
          <w:b w:val="0"/>
          <w:i w:val="0"/>
          <w:smallCaps w:val="0"/>
          <w:strike w:val="0"/>
          <w:sz w:val="22"/>
          <w:u w:val="single"/>
        </w:rPr>
        <w:t xml:space="preserve">Gonzales v. O Centro </w:t>
      </w:r>
      <w:r>
        <w:rPr>
          <w:b w:val="0"/>
          <w:i w:val="0"/>
          <w:smallCaps w:val="0"/>
          <w:strike w:val="0"/>
          <w:sz w:val="22"/>
          <w:u w:val="single"/>
        </w:rPr>
        <w:t>Espirita</w:t>
      </w:r>
      <w:r>
        <w:rPr>
          <w:b w:val="0"/>
          <w:i w:val="0"/>
          <w:smallCaps w:val="0"/>
          <w:strike w:val="0"/>
          <w:sz w:val="22"/>
          <w:u w:val="single"/>
        </w:rPr>
        <w:t xml:space="preserve"> </w:t>
      </w:r>
      <w:r>
        <w:rPr>
          <w:b w:val="0"/>
          <w:i w:val="0"/>
          <w:smallCaps w:val="0"/>
          <w:strike w:val="0"/>
          <w:sz w:val="22"/>
          <w:u w:val="single"/>
        </w:rPr>
        <w:t>Beneficente</w:t>
      </w:r>
      <w:r>
        <w:rPr>
          <w:b w:val="0"/>
          <w:i w:val="0"/>
          <w:smallCaps w:val="0"/>
          <w:strike w:val="0"/>
          <w:sz w:val="22"/>
          <w:u w:val="single"/>
        </w:rPr>
        <w:t xml:space="preserve"> </w:t>
      </w:r>
      <w:r>
        <w:rPr>
          <w:b w:val="0"/>
          <w:i w:val="0"/>
          <w:smallCaps w:val="0"/>
          <w:strike w:val="0"/>
          <w:sz w:val="22"/>
          <w:u w:val="single"/>
        </w:rPr>
        <w:t>Uniao</w:t>
      </w:r>
      <w:r>
        <w:rPr>
          <w:b w:val="0"/>
          <w:i w:val="0"/>
          <w:smallCaps w:val="0"/>
          <w:strike w:val="0"/>
          <w:sz w:val="22"/>
          <w:u w:val="single"/>
        </w:rPr>
        <w:t xml:space="preserve"> do Vegetal also turns on </w:t>
      </w:r>
      <w:r>
        <w:rPr>
          <w:b w:val="0"/>
          <w:i w:val="0"/>
          <w:smallCaps w:val="0"/>
          <w:strike w:val="0"/>
          <w:sz w:val="16"/>
          <w:u w:val="none"/>
        </w:rPr>
        <w:t xml:space="preserve">questions of </w:t>
      </w:r>
      <w:r>
        <w:rPr>
          <w:b w:val="0"/>
          <w:i w:val="0"/>
          <w:smallCaps w:val="0"/>
          <w:strike w:val="0"/>
          <w:sz w:val="22"/>
          <w:u w:val="single"/>
        </w:rPr>
        <w:t>statutory, rather than treaty, law.</w:t>
      </w:r>
      <w:r>
        <w:rPr>
          <w:b w:val="0"/>
          <w:i w:val="0"/>
          <w:smallCaps w:val="0"/>
          <w:strike w:val="0"/>
          <w:sz w:val="16"/>
          <w:u w:val="none"/>
        </w:rPr>
        <w:t xml:space="preserve">115 </w:t>
      </w:r>
      <w:r>
        <w:rPr>
          <w:b w:val="0"/>
          <w:i w:val="0"/>
          <w:smallCaps w:val="0"/>
          <w:strike w:val="0"/>
          <w:sz w:val="22"/>
          <w:u w:val="single"/>
        </w:rPr>
        <w:t xml:space="preserve">The Court </w:t>
      </w:r>
      <w:r>
        <w:rPr>
          <w:b w:val="0"/>
          <w:i w:val="0"/>
          <w:smallCaps w:val="0"/>
          <w:strike w:val="0"/>
          <w:sz w:val="16"/>
          <w:u w:val="none"/>
        </w:rPr>
        <w:t xml:space="preserve">in that case </w:t>
      </w:r>
      <w:r>
        <w:rPr>
          <w:b/>
          <w:i w:val="0"/>
          <w:smallCaps w:val="0"/>
          <w:strike w:val="0"/>
          <w:sz w:val="24"/>
          <w:u w:val="single"/>
        </w:rPr>
        <w:t>accepts the executive branch’s view</w:t>
      </w:r>
      <w:r>
        <w:rPr>
          <w:b w:val="0"/>
          <w:i w:val="0"/>
          <w:smallCaps w:val="0"/>
          <w:strike w:val="0"/>
          <w:sz w:val="22"/>
          <w:u w:val="single"/>
        </w:rPr>
        <w:t xml:space="preserve"> that </w:t>
      </w:r>
      <w:r>
        <w:rPr>
          <w:b w:val="0"/>
          <w:i w:val="0"/>
          <w:smallCaps w:val="0"/>
          <w:strike w:val="0"/>
          <w:sz w:val="22"/>
          <w:u w:val="single"/>
        </w:rPr>
        <w:t>hoasca</w:t>
      </w:r>
      <w:r>
        <w:rPr>
          <w:b w:val="0"/>
          <w:i w:val="0"/>
          <w:smallCaps w:val="0"/>
          <w:strike w:val="0"/>
          <w:sz w:val="22"/>
          <w:u w:val="single"/>
        </w:rPr>
        <w:t xml:space="preserve"> is covered by the Convention on Psychotropic Substances</w:t>
      </w:r>
      <w:r>
        <w:rPr>
          <w:b w:val="0"/>
          <w:i w:val="0"/>
          <w:smallCaps w:val="0"/>
          <w:strike w:val="0"/>
          <w:sz w:val="16"/>
          <w:u w:val="none"/>
        </w:rPr>
        <w:t xml:space="preserve">.116 Following principles of U.S. law, however, </w:t>
      </w:r>
      <w:r>
        <w:rPr>
          <w:b w:val="0"/>
          <w:i w:val="0"/>
          <w:smallCaps w:val="0"/>
          <w:strike w:val="0"/>
          <w:sz w:val="22"/>
          <w:u w:val="single"/>
        </w:rPr>
        <w:t xml:space="preserve">the Court determines that </w:t>
      </w:r>
      <w:r>
        <w:rPr>
          <w:b/>
          <w:i w:val="0"/>
          <w:smallCaps w:val="0"/>
          <w:strike w:val="0"/>
          <w:sz w:val="24"/>
          <w:u w:val="single"/>
        </w:rPr>
        <w:t>U.S. obligations under that treaty</w:t>
      </w:r>
      <w:r>
        <w:rPr>
          <w:b w:val="0"/>
          <w:i w:val="0"/>
          <w:smallCaps w:val="0"/>
          <w:strike w:val="0"/>
          <w:sz w:val="22"/>
          <w:u w:val="single"/>
        </w:rPr>
        <w:t xml:space="preserve"> are not,</w:t>
      </w:r>
      <w:r>
        <w:rPr>
          <w:b w:val="0"/>
          <w:i w:val="0"/>
          <w:smallCaps w:val="0"/>
          <w:strike w:val="0"/>
          <w:sz w:val="16"/>
          <w:u w:val="none"/>
        </w:rPr>
        <w:t xml:space="preserve"> in and of themselves, </w:t>
      </w:r>
      <w:r>
        <w:rPr>
          <w:b w:val="0"/>
          <w:i w:val="0"/>
          <w:smallCaps w:val="0"/>
          <w:strike w:val="0"/>
          <w:sz w:val="22"/>
          <w:u w:val="single"/>
        </w:rPr>
        <w:t xml:space="preserve">sufficient justification for denying a religious exception under </w:t>
      </w:r>
      <w:r>
        <w:rPr>
          <w:b w:val="0"/>
          <w:i w:val="0"/>
          <w:smallCaps w:val="0"/>
          <w:strike w:val="0"/>
          <w:sz w:val="16"/>
          <w:u w:val="none"/>
        </w:rPr>
        <w:t xml:space="preserve">a U.S. statute, </w:t>
      </w:r>
      <w:r>
        <w:rPr>
          <w:b w:val="0"/>
          <w:i w:val="0"/>
          <w:smallCaps w:val="0"/>
          <w:strike w:val="0"/>
          <w:sz w:val="22"/>
          <w:u w:val="single"/>
        </w:rPr>
        <w:t>the Religious Freedom Restoration Act.</w:t>
      </w:r>
      <w:r>
        <w:rPr>
          <w:b w:val="0"/>
          <w:i w:val="0"/>
          <w:smallCaps w:val="0"/>
          <w:strike w:val="0"/>
          <w:sz w:val="16"/>
          <w:u w:val="none"/>
        </w:rPr>
        <w:t xml:space="preserve">117 Additionally, in </w:t>
      </w:r>
      <w:r>
        <w:rPr>
          <w:b w:val="0"/>
          <w:i w:val="0"/>
          <w:smallCaps w:val="0"/>
          <w:strike w:val="0"/>
          <w:sz w:val="16"/>
          <w:u w:val="none"/>
        </w:rPr>
        <w:t>Negusie</w:t>
      </w:r>
      <w:r>
        <w:rPr>
          <w:b w:val="0"/>
          <w:i w:val="0"/>
          <w:smallCaps w:val="0"/>
          <w:strike w:val="0"/>
          <w:sz w:val="16"/>
          <w:u w:val="none"/>
        </w:rPr>
        <w:t xml:space="preserve"> v. Holder, the Court avoids interpreting the Refugee Convention by holding that both the Board of Immigration Appeals and Fifth Circuit incorrectly relied on a prior Supreme Court case.118 </w:t>
      </w:r>
      <w:r>
        <w:rPr>
          <w:b w:val="0"/>
          <w:i w:val="0"/>
          <w:smallCaps w:val="0"/>
          <w:strike w:val="0"/>
          <w:sz w:val="22"/>
          <w:u w:val="single"/>
        </w:rPr>
        <w:t xml:space="preserve">The Court thus bases its decision on a </w:t>
      </w:r>
      <w:r>
        <w:rPr>
          <w:b/>
          <w:i w:val="0"/>
          <w:smallCaps w:val="0"/>
          <w:strike w:val="0"/>
          <w:sz w:val="24"/>
          <w:u w:val="single"/>
        </w:rPr>
        <w:t>domestic source</w:t>
      </w:r>
      <w:r>
        <w:rPr>
          <w:b w:val="0"/>
          <w:i w:val="0"/>
          <w:smallCaps w:val="0"/>
          <w:strike w:val="0"/>
          <w:sz w:val="16"/>
          <w:u w:val="none"/>
        </w:rPr>
        <w:t>, Supreme Court precedent,</w:t>
      </w:r>
      <w:r>
        <w:rPr>
          <w:b w:val="0"/>
          <w:i w:val="0"/>
          <w:smallCaps w:val="0"/>
          <w:strike w:val="0"/>
          <w:sz w:val="22"/>
          <w:u w:val="single"/>
        </w:rPr>
        <w:t xml:space="preserve"> over which it can claim </w:t>
      </w:r>
      <w:r>
        <w:rPr>
          <w:b/>
          <w:i w:val="0"/>
          <w:smallCaps w:val="0"/>
          <w:strike w:val="0"/>
          <w:sz w:val="24"/>
          <w:u w:val="single"/>
        </w:rPr>
        <w:t>ultimate interpretative authority.</w:t>
      </w:r>
    </w:p>
    <w:p>
      <w:pPr>
        <w:spacing w:after="60"/>
      </w:pPr>
      <w:r>
        <w:rPr>
          <w:b w:val="0"/>
          <w:i w:val="0"/>
          <w:smallCaps w:val="0"/>
          <w:strike w:val="0"/>
          <w:sz w:val="22"/>
          <w:u w:val="single"/>
        </w:rPr>
        <w:t xml:space="preserve">This trend of </w:t>
      </w:r>
      <w:r>
        <w:rPr>
          <w:b w:val="0"/>
          <w:i w:val="0"/>
          <w:smallCaps w:val="0"/>
          <w:strike w:val="0"/>
          <w:sz w:val="22"/>
          <w:highlight w:val="cyan"/>
          <w:u w:val="single"/>
        </w:rPr>
        <w:t>isolating</w:t>
      </w:r>
      <w:r>
        <w:rPr>
          <w:b w:val="0"/>
          <w:i w:val="0"/>
          <w:smallCaps w:val="0"/>
          <w:strike w:val="0"/>
          <w:sz w:val="16"/>
          <w:u w:val="none"/>
        </w:rPr>
        <w:t xml:space="preserve"> the </w:t>
      </w:r>
      <w:r>
        <w:rPr>
          <w:b w:val="0"/>
          <w:i w:val="0"/>
          <w:smallCaps w:val="0"/>
          <w:strike w:val="0"/>
          <w:sz w:val="22"/>
          <w:highlight w:val="cyan"/>
          <w:u w:val="single"/>
        </w:rPr>
        <w:t>statutory</w:t>
      </w:r>
      <w:r>
        <w:rPr>
          <w:b w:val="0"/>
          <w:i w:val="0"/>
          <w:smallCaps w:val="0"/>
          <w:strike w:val="0"/>
          <w:sz w:val="22"/>
          <w:u w:val="single"/>
        </w:rPr>
        <w:t xml:space="preserve"> or constitutional questions </w:t>
      </w:r>
      <w:r>
        <w:rPr>
          <w:b w:val="0"/>
          <w:i w:val="0"/>
          <w:smallCaps w:val="0"/>
          <w:strike w:val="0"/>
          <w:sz w:val="22"/>
          <w:highlight w:val="cyan"/>
          <w:u w:val="single"/>
        </w:rPr>
        <w:t>from treaty questions runs in parallel with</w:t>
      </w:r>
      <w:r>
        <w:rPr>
          <w:b w:val="0"/>
          <w:i w:val="0"/>
          <w:smallCaps w:val="0"/>
          <w:strike w:val="0"/>
          <w:sz w:val="22"/>
          <w:u w:val="single"/>
        </w:rPr>
        <w:t xml:space="preserve"> </w:t>
      </w:r>
      <w:r>
        <w:rPr>
          <w:b w:val="0"/>
          <w:i w:val="0"/>
          <w:smallCaps w:val="0"/>
          <w:strike w:val="0"/>
          <w:sz w:val="16"/>
          <w:u w:val="none"/>
        </w:rPr>
        <w:t xml:space="preserve">a trend toward </w:t>
      </w:r>
      <w:r>
        <w:rPr>
          <w:b/>
          <w:i w:val="0"/>
          <w:smallCaps w:val="0"/>
          <w:strike w:val="0"/>
          <w:sz w:val="24"/>
          <w:highlight w:val="cyan"/>
          <w:u w:val="single"/>
        </w:rPr>
        <w:t>less deference</w:t>
      </w:r>
      <w:r>
        <w:rPr>
          <w:b w:val="0"/>
          <w:i w:val="0"/>
          <w:smallCaps w:val="0"/>
          <w:strike w:val="0"/>
          <w:sz w:val="22"/>
          <w:u w:val="single"/>
        </w:rPr>
        <w:t xml:space="preserve"> to the executive </w:t>
      </w:r>
      <w:r>
        <w:rPr>
          <w:b w:val="0"/>
          <w:i w:val="0"/>
          <w:smallCaps w:val="0"/>
          <w:strike w:val="0"/>
          <w:sz w:val="22"/>
          <w:highlight w:val="cyan"/>
          <w:u w:val="single"/>
        </w:rPr>
        <w:t xml:space="preserve">on </w:t>
      </w:r>
      <w:r>
        <w:rPr>
          <w:b/>
          <w:i w:val="0"/>
          <w:smallCaps w:val="0"/>
          <w:strike w:val="0"/>
          <w:sz w:val="24"/>
          <w:highlight w:val="cyan"/>
          <w:u w:val="single"/>
        </w:rPr>
        <w:t>treaty interpretation</w:t>
      </w:r>
      <w:r>
        <w:rPr>
          <w:b w:val="0"/>
          <w:i w:val="0"/>
          <w:smallCaps w:val="0"/>
          <w:strike w:val="0"/>
          <w:sz w:val="22"/>
          <w:u w:val="single"/>
        </w:rPr>
        <w:t>. By shifting the question away from</w:t>
      </w:r>
      <w:r>
        <w:rPr>
          <w:b w:val="0"/>
          <w:i w:val="0"/>
          <w:smallCaps w:val="0"/>
          <w:strike w:val="0"/>
          <w:sz w:val="16"/>
          <w:u w:val="none"/>
        </w:rPr>
        <w:t xml:space="preserve"> areas in which </w:t>
      </w:r>
      <w:r>
        <w:rPr>
          <w:b w:val="0"/>
          <w:i w:val="0"/>
          <w:smallCaps w:val="0"/>
          <w:strike w:val="0"/>
          <w:sz w:val="22"/>
          <w:u w:val="single"/>
        </w:rPr>
        <w:t>the executive</w:t>
      </w:r>
      <w:r>
        <w:rPr>
          <w:b w:val="0"/>
          <w:i w:val="0"/>
          <w:smallCaps w:val="0"/>
          <w:strike w:val="0"/>
          <w:sz w:val="16"/>
          <w:u w:val="none"/>
        </w:rPr>
        <w:t xml:space="preserve"> might have special expertise or a special role towards areas within the Court’s ordinary bailiwick, </w:t>
      </w:r>
      <w:r>
        <w:rPr>
          <w:b w:val="0"/>
          <w:i w:val="0"/>
          <w:smallCaps w:val="0"/>
          <w:strike w:val="0"/>
          <w:sz w:val="22"/>
          <w:highlight w:val="cyan"/>
          <w:u w:val="single"/>
        </w:rPr>
        <w:t>the Court</w:t>
      </w:r>
      <w:r>
        <w:rPr>
          <w:b w:val="0"/>
          <w:i w:val="0"/>
          <w:smallCaps w:val="0"/>
          <w:strike w:val="0"/>
          <w:sz w:val="22"/>
          <w:u w:val="single"/>
        </w:rPr>
        <w:t xml:space="preserve"> essentially </w:t>
      </w:r>
      <w:r>
        <w:rPr>
          <w:b/>
          <w:i w:val="0"/>
          <w:smallCaps w:val="0"/>
          <w:strike w:val="0"/>
          <w:sz w:val="24"/>
          <w:highlight w:val="cyan"/>
          <w:u w:val="single"/>
        </w:rPr>
        <w:t>removes the executive</w:t>
      </w:r>
      <w:r>
        <w:rPr>
          <w:b w:val="0"/>
          <w:i w:val="0"/>
          <w:smallCaps w:val="0"/>
          <w:strike w:val="0"/>
          <w:sz w:val="22"/>
          <w:highlight w:val="cyan"/>
          <w:u w:val="single"/>
        </w:rPr>
        <w:t xml:space="preserve"> from the equation</w:t>
      </w:r>
      <w:r>
        <w:rPr>
          <w:b w:val="0"/>
          <w:i w:val="0"/>
          <w:smallCaps w:val="0"/>
          <w:strike w:val="0"/>
          <w:sz w:val="22"/>
          <w:u w:val="single"/>
        </w:rPr>
        <w:t xml:space="preserve">. The executive’s view of a treaty becomes </w:t>
      </w:r>
      <w:r>
        <w:rPr>
          <w:b/>
          <w:i w:val="0"/>
          <w:smallCaps w:val="0"/>
          <w:strike w:val="0"/>
          <w:sz w:val="24"/>
          <w:u w:val="single"/>
        </w:rPr>
        <w:t>irrelevant</w:t>
      </w:r>
      <w:r>
        <w:rPr>
          <w:b w:val="0"/>
          <w:i w:val="0"/>
          <w:smallCaps w:val="0"/>
          <w:strike w:val="0"/>
          <w:sz w:val="22"/>
          <w:u w:val="single"/>
        </w:rPr>
        <w:t>.</w:t>
      </w:r>
    </w:p>
    <w:p>
      <w:pPr>
        <w:spacing w:after="60"/>
      </w:pPr>
      <w:r>
        <w:rPr>
          <w:b w:val="0"/>
          <w:i w:val="0"/>
          <w:smallCaps w:val="0"/>
          <w:strike w:val="0"/>
          <w:sz w:val="16"/>
          <w:u w:val="none"/>
        </w:rPr>
        <w:t xml:space="preserve">And </w:t>
      </w:r>
      <w:r>
        <w:rPr>
          <w:b w:val="0"/>
          <w:i w:val="0"/>
          <w:smallCaps w:val="0"/>
          <w:strike w:val="0"/>
          <w:sz w:val="22"/>
          <w:u w:val="single"/>
        </w:rPr>
        <w:t xml:space="preserve">Medellín encourages this development. </w:t>
      </w:r>
      <w:r>
        <w:rPr>
          <w:b w:val="0"/>
          <w:i w:val="0"/>
          <w:smallCaps w:val="0"/>
          <w:strike w:val="0"/>
          <w:sz w:val="16"/>
          <w:u w:val="none"/>
        </w:rPr>
        <w:t xml:space="preserve">Even if we don’t read Medellín to establish a presumption against treaty selfexecution,119 </w:t>
      </w:r>
      <w:r>
        <w:rPr>
          <w:b w:val="0"/>
          <w:i w:val="0"/>
          <w:smallCaps w:val="0"/>
          <w:strike w:val="0"/>
          <w:sz w:val="22"/>
          <w:u w:val="single"/>
        </w:rPr>
        <w:t xml:space="preserve">Medellín does </w:t>
      </w:r>
      <w:r>
        <w:rPr>
          <w:b/>
          <w:i w:val="0"/>
          <w:smallCaps w:val="0"/>
          <w:strike w:val="0"/>
          <w:sz w:val="24"/>
          <w:u w:val="single"/>
        </w:rPr>
        <w:t>increase the uncertainty</w:t>
      </w:r>
      <w:r>
        <w:rPr>
          <w:b w:val="0"/>
          <w:i w:val="0"/>
          <w:smallCaps w:val="0"/>
          <w:strike w:val="0"/>
          <w:sz w:val="22"/>
          <w:u w:val="single"/>
        </w:rPr>
        <w:t xml:space="preserve"> of whether any treaty provision will be found to be </w:t>
      </w:r>
      <w:r>
        <w:rPr>
          <w:b/>
          <w:i w:val="0"/>
          <w:smallCaps w:val="0"/>
          <w:strike w:val="0"/>
          <w:sz w:val="24"/>
          <w:u w:val="single"/>
        </w:rPr>
        <w:t>self-executing</w:t>
      </w:r>
      <w:r>
        <w:rPr>
          <w:b w:val="0"/>
          <w:i w:val="0"/>
          <w:smallCaps w:val="0"/>
          <w:strike w:val="0"/>
          <w:sz w:val="16"/>
          <w:u w:val="none"/>
        </w:rPr>
        <w:t xml:space="preserve">.120 </w:t>
      </w:r>
      <w:r>
        <w:rPr>
          <w:b w:val="0"/>
          <w:i w:val="0"/>
          <w:smallCaps w:val="0"/>
          <w:strike w:val="0"/>
          <w:sz w:val="22"/>
          <w:highlight w:val="cyan"/>
          <w:u w:val="single"/>
        </w:rPr>
        <w:t>This</w:t>
      </w:r>
      <w:r>
        <w:rPr>
          <w:b w:val="0"/>
          <w:i w:val="0"/>
          <w:smallCaps w:val="0"/>
          <w:strike w:val="0"/>
          <w:sz w:val="22"/>
          <w:u w:val="single"/>
        </w:rPr>
        <w:t xml:space="preserve"> uncertainty </w:t>
      </w:r>
      <w:r>
        <w:rPr>
          <w:b w:val="0"/>
          <w:i w:val="0"/>
          <w:smallCaps w:val="0"/>
          <w:strike w:val="0"/>
          <w:sz w:val="22"/>
          <w:highlight w:val="cyan"/>
          <w:u w:val="single"/>
        </w:rPr>
        <w:t xml:space="preserve">increases the importance of </w:t>
      </w:r>
      <w:r>
        <w:rPr>
          <w:b/>
          <w:i w:val="0"/>
          <w:smallCaps w:val="0"/>
          <w:strike w:val="0"/>
          <w:sz w:val="24"/>
          <w:highlight w:val="cyan"/>
          <w:u w:val="single"/>
        </w:rPr>
        <w:t>implementing legislation</w:t>
      </w:r>
      <w:r>
        <w:rPr>
          <w:b w:val="0"/>
          <w:i w:val="0"/>
          <w:smallCaps w:val="0"/>
          <w:strike w:val="0"/>
          <w:sz w:val="16"/>
          <w:u w:val="none"/>
        </w:rPr>
        <w:t xml:space="preserve"> or other statutory bases </w:t>
      </w:r>
      <w:r>
        <w:rPr>
          <w:b w:val="0"/>
          <w:i w:val="0"/>
          <w:smallCaps w:val="0"/>
          <w:strike w:val="0"/>
          <w:sz w:val="22"/>
          <w:u w:val="single"/>
        </w:rPr>
        <w:t>for applying the treaty</w:t>
      </w:r>
      <w:r>
        <w:rPr>
          <w:b w:val="0"/>
          <w:i w:val="0"/>
          <w:smallCaps w:val="0"/>
          <w:strike w:val="0"/>
          <w:sz w:val="16"/>
          <w:u w:val="none"/>
        </w:rPr>
        <w:t xml:space="preserve">, </w:t>
      </w:r>
      <w:r>
        <w:rPr>
          <w:b w:val="0"/>
          <w:i w:val="0"/>
          <w:smallCaps w:val="0"/>
          <w:strike w:val="0"/>
          <w:sz w:val="22"/>
          <w:u w:val="single"/>
        </w:rPr>
        <w:t>which</w:t>
      </w:r>
      <w:r>
        <w:rPr>
          <w:b w:val="0"/>
          <w:i w:val="0"/>
          <w:smallCaps w:val="0"/>
          <w:strike w:val="0"/>
          <w:sz w:val="16"/>
          <w:u w:val="none"/>
        </w:rPr>
        <w:t xml:space="preserve"> in turn, </w:t>
      </w:r>
      <w:r>
        <w:rPr>
          <w:b w:val="0"/>
          <w:i w:val="0"/>
          <w:smallCaps w:val="0"/>
          <w:strike w:val="0"/>
          <w:sz w:val="22"/>
          <w:u w:val="single"/>
        </w:rPr>
        <w:t xml:space="preserve">increases the </w:t>
      </w:r>
      <w:r>
        <w:rPr>
          <w:b/>
          <w:i w:val="0"/>
          <w:smallCaps w:val="0"/>
          <w:strike w:val="0"/>
          <w:sz w:val="24"/>
          <w:u w:val="single"/>
        </w:rPr>
        <w:t>interpretative focus</w:t>
      </w:r>
      <w:r>
        <w:rPr>
          <w:b w:val="0"/>
          <w:i w:val="0"/>
          <w:smallCaps w:val="0"/>
          <w:strike w:val="0"/>
          <w:sz w:val="22"/>
          <w:u w:val="single"/>
        </w:rPr>
        <w:t xml:space="preserve"> on those sources rather than the treaty.</w:t>
      </w:r>
    </w:p>
    <w:p>
      <w:pPr>
        <w:spacing w:after="60"/>
      </w:pPr>
      <w:r>
        <w:rPr>
          <w:b w:val="0"/>
          <w:i w:val="0"/>
          <w:smallCaps w:val="0"/>
          <w:strike w:val="0"/>
          <w:sz w:val="16"/>
          <w:u w:val="none"/>
        </w:rPr>
        <w:t xml:space="preserve">In the end, </w:t>
      </w:r>
      <w:r>
        <w:rPr>
          <w:b w:val="0"/>
          <w:i w:val="0"/>
          <w:smallCaps w:val="0"/>
          <w:strike w:val="0"/>
          <w:sz w:val="22"/>
          <w:highlight w:val="cyan"/>
          <w:u w:val="single"/>
        </w:rPr>
        <w:t>interpreting</w:t>
      </w:r>
      <w:r>
        <w:rPr>
          <w:b w:val="0"/>
          <w:i w:val="0"/>
          <w:smallCaps w:val="0"/>
          <w:strike w:val="0"/>
          <w:sz w:val="16"/>
          <w:u w:val="none"/>
        </w:rPr>
        <w:t xml:space="preserve"> the Constitution or </w:t>
      </w:r>
      <w:r>
        <w:rPr>
          <w:b w:val="0"/>
          <w:i w:val="0"/>
          <w:smallCaps w:val="0"/>
          <w:strike w:val="0"/>
          <w:sz w:val="22"/>
          <w:highlight w:val="cyan"/>
          <w:u w:val="single"/>
        </w:rPr>
        <w:t xml:space="preserve">statutes, </w:t>
      </w:r>
      <w:r>
        <w:rPr>
          <w:b/>
          <w:i w:val="0"/>
          <w:smallCaps w:val="0"/>
          <w:strike w:val="0"/>
          <w:sz w:val="24"/>
          <w:highlight w:val="cyan"/>
          <w:u w:val="single"/>
        </w:rPr>
        <w:t>rather than treaties</w:t>
      </w:r>
      <w:r>
        <w:rPr>
          <w:b w:val="0"/>
          <w:i w:val="0"/>
          <w:smallCaps w:val="0"/>
          <w:strike w:val="0"/>
          <w:sz w:val="22"/>
          <w:highlight w:val="cyan"/>
          <w:u w:val="single"/>
        </w:rPr>
        <w:t>, allows the Court to consider</w:t>
      </w:r>
      <w:r>
        <w:rPr>
          <w:b w:val="0"/>
          <w:i w:val="0"/>
          <w:smallCaps w:val="0"/>
          <w:strike w:val="0"/>
          <w:sz w:val="22"/>
          <w:u w:val="single"/>
        </w:rPr>
        <w:t xml:space="preserve"> questions specific to American </w:t>
      </w:r>
      <w:r>
        <w:rPr>
          <w:b w:val="0"/>
          <w:i w:val="0"/>
          <w:smallCaps w:val="0"/>
          <w:strike w:val="0"/>
          <w:sz w:val="22"/>
          <w:highlight w:val="cyan"/>
          <w:u w:val="single"/>
        </w:rPr>
        <w:t>law</w:t>
      </w:r>
      <w:r>
        <w:rPr>
          <w:b w:val="0"/>
          <w:i w:val="0"/>
          <w:smallCaps w:val="0"/>
          <w:strike w:val="0"/>
          <w:sz w:val="16"/>
          <w:u w:val="none"/>
        </w:rPr>
        <w:t>—like federalism or separation of powers—</w:t>
      </w:r>
      <w:r>
        <w:rPr>
          <w:b w:val="0"/>
          <w:i w:val="0"/>
          <w:smallCaps w:val="0"/>
          <w:strike w:val="0"/>
          <w:sz w:val="22"/>
          <w:highlight w:val="cyan"/>
          <w:u w:val="single"/>
        </w:rPr>
        <w:t>without</w:t>
      </w:r>
      <w:r>
        <w:rPr>
          <w:b w:val="0"/>
          <w:i w:val="0"/>
          <w:smallCaps w:val="0"/>
          <w:strike w:val="0"/>
          <w:sz w:val="22"/>
          <w:u w:val="single"/>
        </w:rPr>
        <w:t xml:space="preserve">: (1) </w:t>
      </w:r>
      <w:r>
        <w:rPr>
          <w:b/>
          <w:i w:val="0"/>
          <w:smallCaps w:val="0"/>
          <w:strike w:val="0"/>
          <w:sz w:val="24"/>
          <w:highlight w:val="cyan"/>
          <w:u w:val="single"/>
        </w:rPr>
        <w:t>doing damage</w:t>
      </w:r>
      <w:r>
        <w:rPr>
          <w:b w:val="0"/>
          <w:i w:val="0"/>
          <w:smallCaps w:val="0"/>
          <w:strike w:val="0"/>
          <w:sz w:val="22"/>
          <w:highlight w:val="cyan"/>
          <w:u w:val="single"/>
        </w:rPr>
        <w:t xml:space="preserve"> to the treaty</w:t>
      </w:r>
      <w:r>
        <w:rPr>
          <w:b w:val="0"/>
          <w:i w:val="0"/>
          <w:smallCaps w:val="0"/>
          <w:strike w:val="0"/>
          <w:sz w:val="22"/>
          <w:u w:val="single"/>
        </w:rPr>
        <w:t xml:space="preserve">; (2) </w:t>
      </w:r>
      <w:r>
        <w:rPr>
          <w:b/>
          <w:i w:val="0"/>
          <w:smallCaps w:val="0"/>
          <w:strike w:val="0"/>
          <w:sz w:val="24"/>
          <w:u w:val="single"/>
        </w:rPr>
        <w:t>setting precedents</w:t>
      </w:r>
      <w:r>
        <w:rPr>
          <w:b w:val="0"/>
          <w:i w:val="0"/>
          <w:smallCaps w:val="0"/>
          <w:strike w:val="0"/>
          <w:sz w:val="22"/>
          <w:u w:val="single"/>
        </w:rPr>
        <w:t xml:space="preserve"> about how the treaty should be interpreted by other states; </w:t>
      </w:r>
      <w:r>
        <w:rPr>
          <w:b w:val="0"/>
          <w:i w:val="0"/>
          <w:smallCaps w:val="0"/>
          <w:strike w:val="0"/>
          <w:sz w:val="22"/>
          <w:highlight w:val="cyan"/>
          <w:u w:val="single"/>
        </w:rPr>
        <w:t>and</w:t>
      </w:r>
      <w:r>
        <w:rPr>
          <w:b w:val="0"/>
          <w:i w:val="0"/>
          <w:smallCaps w:val="0"/>
          <w:strike w:val="0"/>
          <w:sz w:val="22"/>
          <w:u w:val="single"/>
        </w:rPr>
        <w:t xml:space="preserve"> (3) </w:t>
      </w:r>
      <w:r>
        <w:rPr>
          <w:b w:val="0"/>
          <w:i w:val="0"/>
          <w:smallCaps w:val="0"/>
          <w:strike w:val="0"/>
          <w:sz w:val="22"/>
          <w:highlight w:val="cyan"/>
          <w:u w:val="single"/>
        </w:rPr>
        <w:t>asserting</w:t>
      </w:r>
      <w:r>
        <w:rPr>
          <w:b w:val="0"/>
          <w:i w:val="0"/>
          <w:smallCaps w:val="0"/>
          <w:strike w:val="0"/>
          <w:sz w:val="22"/>
          <w:u w:val="single"/>
        </w:rPr>
        <w:t xml:space="preserve"> that </w:t>
      </w:r>
      <w:r>
        <w:rPr>
          <w:b w:val="0"/>
          <w:i w:val="0"/>
          <w:smallCaps w:val="0"/>
          <w:strike w:val="0"/>
          <w:sz w:val="22"/>
          <w:highlight w:val="cyan"/>
          <w:u w:val="single"/>
        </w:rPr>
        <w:t>the U</w:t>
      </w:r>
      <w:r>
        <w:rPr>
          <w:b w:val="0"/>
          <w:i w:val="0"/>
          <w:smallCaps w:val="0"/>
          <w:strike w:val="0"/>
          <w:sz w:val="22"/>
          <w:u w:val="single"/>
        </w:rPr>
        <w:t xml:space="preserve">nited </w:t>
      </w:r>
      <w:r>
        <w:rPr>
          <w:b w:val="0"/>
          <w:i w:val="0"/>
          <w:smallCaps w:val="0"/>
          <w:strike w:val="0"/>
          <w:sz w:val="22"/>
          <w:highlight w:val="cyan"/>
          <w:u w:val="single"/>
        </w:rPr>
        <w:t>S</w:t>
      </w:r>
      <w:r>
        <w:rPr>
          <w:b w:val="0"/>
          <w:i w:val="0"/>
          <w:smallCaps w:val="0"/>
          <w:strike w:val="0"/>
          <w:sz w:val="22"/>
          <w:u w:val="single"/>
        </w:rPr>
        <w:t xml:space="preserve">tates </w:t>
      </w:r>
      <w:r>
        <w:rPr>
          <w:b w:val="0"/>
          <w:i w:val="0"/>
          <w:smallCaps w:val="0"/>
          <w:strike w:val="0"/>
          <w:sz w:val="22"/>
          <w:highlight w:val="cyan"/>
          <w:u w:val="single"/>
        </w:rPr>
        <w:t xml:space="preserve">is </w:t>
      </w:r>
      <w:r>
        <w:rPr>
          <w:b/>
          <w:i w:val="0"/>
          <w:smallCaps w:val="0"/>
          <w:strike w:val="0"/>
          <w:sz w:val="24"/>
          <w:highlight w:val="cyan"/>
          <w:u w:val="single"/>
        </w:rPr>
        <w:t>not bound by</w:t>
      </w:r>
      <w:r>
        <w:rPr>
          <w:b/>
          <w:i w:val="0"/>
          <w:smallCaps w:val="0"/>
          <w:strike w:val="0"/>
          <w:sz w:val="24"/>
          <w:u w:val="single"/>
        </w:rPr>
        <w:t xml:space="preserve"> its </w:t>
      </w:r>
      <w:r>
        <w:rPr>
          <w:b/>
          <w:i w:val="0"/>
          <w:smallCaps w:val="0"/>
          <w:strike w:val="0"/>
          <w:sz w:val="24"/>
          <w:highlight w:val="cyan"/>
          <w:u w:val="single"/>
        </w:rPr>
        <w:t>obligations</w:t>
      </w:r>
      <w:r>
        <w:rPr>
          <w:b w:val="0"/>
          <w:i w:val="0"/>
          <w:smallCaps w:val="0"/>
          <w:strike w:val="0"/>
          <w:sz w:val="16"/>
          <w:u w:val="none"/>
        </w:rPr>
        <w:t xml:space="preserve">. But, the drawback of this trend is that </w:t>
      </w:r>
      <w:r>
        <w:rPr>
          <w:b w:val="0"/>
          <w:i w:val="0"/>
          <w:smallCaps w:val="0"/>
          <w:strike w:val="0"/>
          <w:sz w:val="22"/>
          <w:highlight w:val="cyan"/>
          <w:u w:val="single"/>
        </w:rPr>
        <w:t xml:space="preserve">it </w:t>
      </w:r>
      <w:r>
        <w:rPr>
          <w:b/>
          <w:i w:val="0"/>
          <w:smallCaps w:val="0"/>
          <w:strike w:val="0"/>
          <w:sz w:val="24"/>
          <w:highlight w:val="cyan"/>
          <w:u w:val="single"/>
        </w:rPr>
        <w:t>drives a wedge</w:t>
      </w:r>
      <w:r>
        <w:rPr>
          <w:b w:val="0"/>
          <w:i w:val="0"/>
          <w:smallCaps w:val="0"/>
          <w:strike w:val="0"/>
          <w:sz w:val="22"/>
          <w:highlight w:val="cyan"/>
          <w:u w:val="single"/>
        </w:rPr>
        <w:t xml:space="preserve"> between </w:t>
      </w:r>
      <w:r>
        <w:rPr>
          <w:b/>
          <w:i w:val="0"/>
          <w:smallCaps w:val="0"/>
          <w:strike w:val="0"/>
          <w:sz w:val="24"/>
          <w:highlight w:val="cyan"/>
          <w:u w:val="single"/>
        </w:rPr>
        <w:t>treaty commitment</w:t>
      </w:r>
      <w:r>
        <w:rPr>
          <w:b w:val="0"/>
          <w:i w:val="0"/>
          <w:smallCaps w:val="0"/>
          <w:strike w:val="0"/>
          <w:sz w:val="22"/>
          <w:highlight w:val="cyan"/>
          <w:u w:val="single"/>
        </w:rPr>
        <w:t xml:space="preserve"> and </w:t>
      </w:r>
      <w:r>
        <w:rPr>
          <w:b/>
          <w:i w:val="0"/>
          <w:smallCaps w:val="0"/>
          <w:strike w:val="0"/>
          <w:sz w:val="24"/>
          <w:highlight w:val="cyan"/>
          <w:u w:val="single"/>
        </w:rPr>
        <w:t>compliance</w:t>
      </w:r>
      <w:r>
        <w:rPr>
          <w:b w:val="0"/>
          <w:i w:val="0"/>
          <w:smallCaps w:val="0"/>
          <w:strike w:val="0"/>
          <w:sz w:val="16"/>
          <w:u w:val="none"/>
        </w:rPr>
        <w:t>; even enacting the treaty’s precise language into law is no guarantee that the treaty’s obligations will be effective as U.S. law.121</w:t>
      </w:r>
    </w:p>
    <w:p>
      <w:pPr>
        <w:pStyle w:val="Caption"/>
      </w:pPr>
      <w:r>
        <w:t>Source: Treaties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