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</w:t>
      </w:r>
      <w:r>
        <w:rPr>
          <w:b/>
          <w:i w:val="0"/>
          <w:smallCaps w:val="0"/>
          <w:strike w:val="0"/>
          <w:sz w:val="26"/>
          <w:u w:val="none"/>
        </w:rPr>
        <w:t xml:space="preserve">Domestic” law is explicitly </w:t>
      </w:r>
      <w:r>
        <w:rPr>
          <w:b/>
          <w:i w:val="0"/>
          <w:smallCaps w:val="0"/>
          <w:strike w:val="0"/>
          <w:sz w:val="26"/>
          <w:u w:val="single"/>
        </w:rPr>
        <w:t>distinguished</w:t>
      </w:r>
      <w:r>
        <w:rPr>
          <w:b/>
          <w:i w:val="0"/>
          <w:smallCaps w:val="0"/>
          <w:strike w:val="0"/>
          <w:sz w:val="26"/>
          <w:u w:val="none"/>
        </w:rPr>
        <w:t xml:space="preserve"> from treaty law.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Horn ’23 </w:t>
      </w:r>
      <w:r>
        <w:rPr>
          <w:b w:val="0"/>
          <w:i w:val="0"/>
          <w:smallCaps w:val="0"/>
          <w:strike w:val="0"/>
          <w:u w:val="none"/>
        </w:rPr>
        <w:t>[Marian Blank; September 13; Senior Judge of the U.S. Court of Federal Claims; “Christensen v. United States,” 168 Fed. Cl. 263, lexis]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According to plaintiffs, "the [Internal Revenue] Code need not expressly provide for a foreign tax credit if the foreign levy in question falls within the treaty definition of a creditable tax" because "what constitutes a United States income tax for purposes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application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a treaty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derives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treaty's definition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 law</w:t>
      </w:r>
      <w:r>
        <w:rPr>
          <w:b w:val="0"/>
          <w:i w:val="0"/>
          <w:smallCaps w:val="0"/>
          <w:strike w:val="0"/>
          <w:sz w:val="16"/>
          <w:u w:val="none"/>
        </w:rPr>
        <w:t>."32 (emphasis in original; alteration added). Plaintiffs argue that "[d]</w:t>
      </w:r>
      <w:r>
        <w:rPr>
          <w:b w:val="0"/>
          <w:i w:val="0"/>
          <w:smallCaps w:val="0"/>
          <w:strike w:val="0"/>
          <w:sz w:val="16"/>
          <w:u w:val="none"/>
        </w:rPr>
        <w:t>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 therefore does not constitute an absolute limitation on the rights and entitlements that may be granted to treaty beneficiaries under the terms of a U.S. tax treaty." (alteration added). Plaintiffs state that "[t]he parties agree that the NIIT constitutes a United States income tax as defined in Article 2(1) and 2(2) of the French Treaty," and, therefore, "that when a treaty provides a definition of a covered tax, it is that definition, and not the more limited definition under United States or foreign law, that is applied." (alteration added).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