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Domestic</w:t>
      </w:r>
      <w:r>
        <w:rPr>
          <w:b/>
          <w:i w:val="0"/>
          <w:smallCaps w:val="0"/>
          <w:strike w:val="0"/>
          <w:sz w:val="26"/>
          <w:u w:val="none"/>
        </w:rPr>
        <w:t xml:space="preserve"> protections </w:t>
      </w:r>
      <w:r>
        <w:rPr>
          <w:b/>
          <w:i w:val="0"/>
          <w:smallCaps w:val="0"/>
          <w:strike w:val="0"/>
          <w:sz w:val="26"/>
          <w:u w:val="single"/>
        </w:rPr>
        <w:t>do not</w:t>
      </w:r>
      <w:r>
        <w:rPr>
          <w:b/>
          <w:i w:val="0"/>
          <w:smallCaps w:val="0"/>
          <w:strike w:val="0"/>
          <w:sz w:val="26"/>
          <w:u w:val="none"/>
        </w:rPr>
        <w:t xml:space="preserve"> apply internationally.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USPTO ‘ND </w:t>
      </w:r>
      <w:r>
        <w:rPr>
          <w:b w:val="0"/>
          <w:i w:val="0"/>
          <w:smallCaps w:val="0"/>
          <w:strike w:val="0"/>
          <w:u w:val="none"/>
        </w:rPr>
        <w:t xml:space="preserve">[United States Patent and Trademark Office; No Date; Agency responsible for granting U.S. patents and registering trademarks; USPTO, “Protecting intellectual property rights (IPR) overseas,” 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Since 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rights granted by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U.S. patent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extend only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throughout the territory</w:t>
      </w:r>
      <w:r>
        <w:rPr>
          <w:b w:val="0"/>
          <w:i w:val="0"/>
          <w:smallCaps w:val="0"/>
          <w:strike w:val="0"/>
          <w:u w:val="single"/>
        </w:rPr>
        <w:t xml:space="preserve"> of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have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 effect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a foreign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 inventor who wishes patent protection in other countries must apply for a patent in each of the other countries or in regional patent offices. Almost every country has its own patent law, and a </w:t>
      </w:r>
      <w:r>
        <w:rPr>
          <w:b w:val="0"/>
          <w:i w:val="0"/>
          <w:smallCaps w:val="0"/>
          <w:strike w:val="0"/>
          <w:u w:val="single"/>
        </w:rPr>
        <w:t>person desiring a patent in a particular country must make an application for patent in that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accordance with the requirements of that country. Similarly, local </w:t>
      </w:r>
      <w:r>
        <w:rPr>
          <w:b w:val="0"/>
          <w:i w:val="0"/>
          <w:smallCaps w:val="0"/>
          <w:strike w:val="0"/>
          <w:highlight w:val="cyan"/>
          <w:u w:val="single"/>
        </w:rPr>
        <w:t>laws apply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trademark, copyrights, and other forms of intellectual property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 each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jurisdiction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