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International IP disadvantages US innovation and companies</w:t>
      </w:r>
    </w:p>
    <w:p>
      <w:pPr>
        <w:spacing w:after="80"/>
      </w:pPr>
      <w:r>
        <w:rPr>
          <w:b w:val="0"/>
          <w:i w:val="0"/>
          <w:smallCaps w:val="0"/>
          <w:strike w:val="0"/>
          <w:color w:val="000000"/>
          <w:sz w:val="26"/>
          <w:u w:val="none"/>
        </w:rPr>
        <w:t>Congressional Research Service (</w:t>
      </w:r>
      <w:r>
        <w:rPr>
          <w:b/>
          <w:i w:val="0"/>
          <w:smallCaps w:val="0"/>
          <w:strike w:val="0"/>
          <w:color w:val="000000"/>
          <w:sz w:val="26"/>
          <w:u w:val="none"/>
        </w:rPr>
        <w:t>CRS</w:t>
      </w:r>
      <w:r>
        <w:rPr>
          <w:b w:val="0"/>
          <w:i w:val="0"/>
          <w:smallCaps w:val="0"/>
          <w:strike w:val="0"/>
          <w:color w:val="000000"/>
          <w:sz w:val="26"/>
          <w:u w:val="none"/>
        </w:rPr>
        <w:t xml:space="preserve">) </w:t>
      </w:r>
      <w:r>
        <w:rPr>
          <w:b/>
          <w:i w:val="0"/>
          <w:smallCaps w:val="0"/>
          <w:strike w:val="0"/>
          <w:color w:val="000000"/>
          <w:sz w:val="26"/>
          <w:u w:val="none"/>
        </w:rPr>
        <w:t>23</w:t>
      </w:r>
      <w:r>
        <w:rPr>
          <w:b w:val="0"/>
          <w:i w:val="0"/>
          <w:smallCaps w:val="0"/>
          <w:strike w:val="0"/>
          <w:color w:val="000000"/>
          <w:u w:val="none"/>
        </w:rPr>
        <w:t xml:space="preserve">, (The Congressional Research Service (CRS) is a public policy research institute of the United States Congress. Operating within the Library of Congress, it works primarily and directly for members of Congress and their committees and staff on a confidential, nonpartisan basis., Congressional Research Service, Intellectual Property Rights (IPR) and International Trade, 9/15/23, </w:t>
      </w:r>
      <w:r>
        <w:rPr>
          <w:b w:val="0"/>
          <w:i w:val="0"/>
          <w:smallCaps w:val="0"/>
          <w:strike w:val="0"/>
          <w:u w:val="none"/>
        </w:rPr>
        <w:t>https://crsreports.congress.gov/product/pdf/IF/IF10033</w:t>
      </w:r>
      <w:r>
        <w:rPr>
          <w:b w:val="0"/>
          <w:i w:val="0"/>
          <w:smallCaps w:val="0"/>
          <w:strike w:val="0"/>
          <w:color w:val="000000"/>
          <w:u w:val="none"/>
        </w:rPr>
        <w:t>) Cogito</w:t>
      </w:r>
    </w:p>
    <w:p>
      <w:pPr>
        <w:spacing w:after="60"/>
      </w:pPr>
      <w:r>
        <w:rPr>
          <w:b w:val="0"/>
          <w:i w:val="0"/>
          <w:smallCaps w:val="0"/>
          <w:strike w:val="0"/>
          <w:sz w:val="16"/>
          <w:u w:val="none"/>
        </w:rPr>
        <w:t xml:space="preserve">While many </w:t>
      </w:r>
      <w:r>
        <w:rPr>
          <w:b w:val="0"/>
          <w:i w:val="0"/>
          <w:smallCaps w:val="0"/>
          <w:strike w:val="0"/>
          <w:sz w:val="16"/>
          <w:highlight w:val="cyan"/>
          <w:u w:val="none"/>
        </w:rPr>
        <w:t>U.S. trading partners</w:t>
      </w:r>
      <w:r>
        <w:rPr>
          <w:b w:val="0"/>
          <w:i w:val="0"/>
          <w:smallCaps w:val="0"/>
          <w:strike w:val="0"/>
          <w:sz w:val="16"/>
          <w:u w:val="none"/>
        </w:rPr>
        <w:t xml:space="preserve"> have strengthened IPR laws and enforcement</w:t>
      </w:r>
      <w:r>
        <w:rPr>
          <w:b w:val="0"/>
          <w:i w:val="0"/>
          <w:smallCaps w:val="0"/>
          <w:strike w:val="0"/>
          <w:u w:val="single"/>
        </w:rPr>
        <w:t xml:space="preserve">, some </w:t>
      </w:r>
      <w:r>
        <w:rPr>
          <w:b w:val="0"/>
          <w:i w:val="0"/>
          <w:smallCaps w:val="0"/>
          <w:strike w:val="0"/>
          <w:highlight w:val="cyan"/>
          <w:u w:val="single"/>
        </w:rPr>
        <w:t>aspects of their regimes</w:t>
      </w:r>
      <w:r>
        <w:rPr>
          <w:b w:val="0"/>
          <w:i w:val="0"/>
          <w:smallCaps w:val="0"/>
          <w:strike w:val="0"/>
          <w:u w:val="single"/>
        </w:rPr>
        <w:t xml:space="preserve"> continue to </w:t>
      </w:r>
      <w:r>
        <w:rPr>
          <w:b w:val="0"/>
          <w:i w:val="0"/>
          <w:smallCaps w:val="0"/>
          <w:strike w:val="0"/>
          <w:highlight w:val="cyan"/>
          <w:u w:val="single"/>
        </w:rPr>
        <w:t>pose trade and investment barriers for U.S. firms</w:t>
      </w:r>
      <w:r>
        <w:rPr>
          <w:b w:val="0"/>
          <w:i w:val="0"/>
          <w:smallCaps w:val="0"/>
          <w:strike w:val="0"/>
          <w:sz w:val="16"/>
          <w:u w:val="none"/>
        </w:rPr>
        <w:t xml:space="preserve">. The Office of the U.S. Trade Representative </w:t>
      </w:r>
      <w:r>
        <w:rPr>
          <w:b w:val="0"/>
          <w:i w:val="0"/>
          <w:smallCaps w:val="0"/>
          <w:strike w:val="0"/>
          <w:u w:val="single"/>
        </w:rPr>
        <w:t xml:space="preserve">(USTR) has </w:t>
      </w:r>
      <w:r>
        <w:rPr>
          <w:b w:val="0"/>
          <w:i w:val="0"/>
          <w:smallCaps w:val="0"/>
          <w:strike w:val="0"/>
          <w:highlight w:val="cyan"/>
          <w:u w:val="single"/>
        </w:rPr>
        <w:t>cited</w:t>
      </w:r>
      <w:r>
        <w:rPr>
          <w:b w:val="0"/>
          <w:i w:val="0"/>
          <w:smallCaps w:val="0"/>
          <w:strike w:val="0"/>
          <w:u w:val="single"/>
        </w:rPr>
        <w:t xml:space="preserve"> as </w:t>
      </w:r>
      <w:r>
        <w:rPr>
          <w:b w:val="0"/>
          <w:i w:val="0"/>
          <w:smallCaps w:val="0"/>
          <w:strike w:val="0"/>
          <w:highlight w:val="cyan"/>
          <w:u w:val="single"/>
        </w:rPr>
        <w:t>key concerns</w:t>
      </w:r>
      <w:r>
        <w:rPr>
          <w:b w:val="0"/>
          <w:i w:val="0"/>
          <w:smallCaps w:val="0"/>
          <w:strike w:val="0"/>
          <w:u w:val="single"/>
        </w:rPr>
        <w:t xml:space="preserve"> some trading partners’ </w:t>
      </w:r>
      <w:r>
        <w:rPr>
          <w:b w:val="0"/>
          <w:i w:val="0"/>
          <w:smallCaps w:val="0"/>
          <w:strike w:val="0"/>
          <w:highlight w:val="cyan"/>
          <w:u w:val="single"/>
        </w:rPr>
        <w:t>lax border</w:t>
      </w:r>
      <w:r>
        <w:rPr>
          <w:b w:val="0"/>
          <w:i w:val="0"/>
          <w:smallCaps w:val="0"/>
          <w:strike w:val="0"/>
          <w:u w:val="single"/>
        </w:rPr>
        <w:t xml:space="preserve"> and </w:t>
      </w:r>
      <w:r>
        <w:rPr>
          <w:b w:val="0"/>
          <w:i w:val="0"/>
          <w:smallCaps w:val="0"/>
          <w:strike w:val="0"/>
          <w:highlight w:val="cyan"/>
          <w:u w:val="single"/>
        </w:rPr>
        <w:t>criminal enforcement against counterfeits</w:t>
      </w:r>
      <w:r>
        <w:rPr>
          <w:b w:val="0"/>
          <w:i w:val="0"/>
          <w:smallCaps w:val="0"/>
          <w:strike w:val="0"/>
          <w:u w:val="single"/>
        </w:rPr>
        <w:t xml:space="preserve">, including in the digital environment; high levels of </w:t>
      </w:r>
      <w:r>
        <w:rPr>
          <w:b w:val="0"/>
          <w:i w:val="0"/>
          <w:smallCaps w:val="0"/>
          <w:strike w:val="0"/>
          <w:highlight w:val="cyan"/>
          <w:u w:val="single"/>
        </w:rPr>
        <w:t>digital piracy</w:t>
      </w:r>
      <w:r>
        <w:rPr>
          <w:b w:val="0"/>
          <w:i w:val="0"/>
          <w:smallCaps w:val="0"/>
          <w:strike w:val="0"/>
          <w:u w:val="single"/>
        </w:rPr>
        <w:t xml:space="preserve">; and </w:t>
      </w:r>
      <w:r>
        <w:rPr>
          <w:b w:val="0"/>
          <w:i w:val="0"/>
          <w:smallCaps w:val="0"/>
          <w:strike w:val="0"/>
          <w:highlight w:val="cyan"/>
          <w:u w:val="single"/>
        </w:rPr>
        <w:t>gaps in trade secret protection and enforcement</w:t>
      </w:r>
      <w:r>
        <w:rPr>
          <w:b w:val="0"/>
          <w:i w:val="0"/>
          <w:smallCaps w:val="0"/>
          <w:strike w:val="0"/>
          <w:u w:val="single"/>
        </w:rPr>
        <w:t>.</w:t>
      </w:r>
      <w:r>
        <w:rPr>
          <w:b w:val="0"/>
          <w:i w:val="0"/>
          <w:smallCaps w:val="0"/>
          <w:strike w:val="0"/>
          <w:sz w:val="16"/>
          <w:u w:val="none"/>
        </w:rPr>
        <w:t xml:space="preserve"> For instance, </w:t>
      </w:r>
      <w:r>
        <w:rPr>
          <w:b w:val="0"/>
          <w:i w:val="0"/>
          <w:smallCaps w:val="0"/>
          <w:strike w:val="0"/>
          <w:highlight w:val="cyan"/>
          <w:u w:val="single"/>
        </w:rPr>
        <w:t>China’s tech</w:t>
      </w:r>
      <w:r>
        <w:rPr>
          <w:b w:val="0"/>
          <w:i w:val="0"/>
          <w:smallCaps w:val="0"/>
          <w:strike w:val="0"/>
          <w:u w:val="single"/>
        </w:rPr>
        <w:t xml:space="preserve">nology </w:t>
      </w:r>
      <w:r>
        <w:rPr>
          <w:b w:val="0"/>
          <w:i w:val="0"/>
          <w:smallCaps w:val="0"/>
          <w:strike w:val="0"/>
          <w:highlight w:val="cyan"/>
          <w:u w:val="single"/>
        </w:rPr>
        <w:t>transfer</w:t>
      </w:r>
      <w:r>
        <w:rPr>
          <w:b w:val="0"/>
          <w:i w:val="0"/>
          <w:smallCaps w:val="0"/>
          <w:strike w:val="0"/>
          <w:u w:val="single"/>
        </w:rPr>
        <w:t xml:space="preserve"> and other </w:t>
      </w:r>
      <w:r>
        <w:rPr>
          <w:b w:val="0"/>
          <w:i w:val="0"/>
          <w:smallCaps w:val="0"/>
          <w:strike w:val="0"/>
          <w:highlight w:val="cyan"/>
          <w:u w:val="single"/>
        </w:rPr>
        <w:t>industrial policies</w:t>
      </w:r>
      <w:r>
        <w:rPr>
          <w:b w:val="0"/>
          <w:i w:val="0"/>
          <w:smallCaps w:val="0"/>
          <w:strike w:val="0"/>
          <w:u w:val="single"/>
        </w:rPr>
        <w:t xml:space="preserve"> may </w:t>
      </w:r>
      <w:r>
        <w:rPr>
          <w:b w:val="0"/>
          <w:i w:val="0"/>
          <w:smallCaps w:val="0"/>
          <w:strike w:val="0"/>
          <w:highlight w:val="cyan"/>
          <w:u w:val="single"/>
        </w:rPr>
        <w:t>disadvantage U.S. IP holders</w:t>
      </w:r>
      <w:r>
        <w:rPr>
          <w:b w:val="0"/>
          <w:i w:val="0"/>
          <w:smallCaps w:val="0"/>
          <w:strike w:val="0"/>
          <w:u w:val="single"/>
        </w:rPr>
        <w:t xml:space="preserve"> in these markets</w:t>
      </w:r>
      <w:r>
        <w:rPr>
          <w:b w:val="0"/>
          <w:i w:val="0"/>
          <w:smallCaps w:val="0"/>
          <w:strike w:val="0"/>
          <w:sz w:val="16"/>
          <w:u w:val="none"/>
        </w:rPr>
        <w:t xml:space="preserve">. Among </w:t>
      </w:r>
      <w:r>
        <w:rPr>
          <w:b w:val="0"/>
          <w:i w:val="0"/>
          <w:smallCaps w:val="0"/>
          <w:strike w:val="0"/>
          <w:u w:val="single"/>
        </w:rPr>
        <w:t xml:space="preserve">developed economies, the </w:t>
      </w:r>
      <w:r>
        <w:rPr>
          <w:b w:val="0"/>
          <w:i w:val="0"/>
          <w:smallCaps w:val="0"/>
          <w:strike w:val="0"/>
          <w:highlight w:val="cyan"/>
          <w:u w:val="single"/>
        </w:rPr>
        <w:t>EU approach to GIs</w:t>
      </w:r>
      <w:r>
        <w:rPr>
          <w:b w:val="0"/>
          <w:i w:val="0"/>
          <w:smallCaps w:val="0"/>
          <w:strike w:val="0"/>
          <w:u w:val="single"/>
        </w:rPr>
        <w:t xml:space="preserve">, for example, may </w:t>
      </w:r>
      <w:r>
        <w:rPr>
          <w:b w:val="0"/>
          <w:i w:val="0"/>
          <w:smallCaps w:val="0"/>
          <w:strike w:val="0"/>
          <w:highlight w:val="cyan"/>
          <w:u w:val="single"/>
        </w:rPr>
        <w:t>limit market access for U.S. exporters</w:t>
      </w:r>
      <w:r>
        <w:rPr>
          <w:b w:val="0"/>
          <w:i w:val="0"/>
          <w:smallCaps w:val="0"/>
          <w:strike w:val="0"/>
          <w:u w:val="single"/>
        </w:rPr>
        <w:t xml:space="preserve"> of products</w:t>
      </w:r>
      <w:r>
        <w:rPr>
          <w:b w:val="0"/>
          <w:i w:val="0"/>
          <w:smallCaps w:val="0"/>
          <w:strike w:val="0"/>
          <w:sz w:val="16"/>
          <w:u w:val="none"/>
        </w:rPr>
        <w:t xml:space="preserve"> that are common food names, and EU approaches to regulation of the digital economy and artificial intelligence affect U.S. IP (e.g., addressing illegal sharing of copyrighted content, transparency obligations for online platforms with respect to content moderation).</w:t>
      </w:r>
    </w:p>
    <w:p>
      <w:pPr>
        <w:pStyle w:val="Caption"/>
      </w:pPr>
      <w:r>
        <w:t>Source: Treaties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