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Evergreening and patent thickets means societal benefits from new drugs are inaccessible.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Levey’ 16</w:t>
      </w:r>
      <w:r>
        <w:rPr>
          <w:b w:val="0"/>
          <w:i w:val="0"/>
          <w:smallCaps w:val="0"/>
          <w:strike w:val="0"/>
          <w:u w:val="none"/>
        </w:rPr>
        <w:t xml:space="preserve"> [co-founder of the firm, its most senior shareholder and Chairman of its Personal Injury section.]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Now, more than ever before,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pharmacologists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are contributing medical advances to confront ravaging disease.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They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developing drugs to mitigate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the effects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Alzheimer’s, HIV, multiple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sclerosis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various forms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cancer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To capitalize on the opportunity, brand-name pharmaceutical firms are patenting these drugs, consequently guarding formulas and, with it, profits.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Patents grant brand-name firms market exclusivity, which essentially allows them to set their own prices.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Even though brand-name firms are investing some of their capital to cultivate new drugs, they also are enjoying gigantic revenue streams, absurd profit margins, and seemingly unfettered control of their respective markets.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Consequently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sick patients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unable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afford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medication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;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high prices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bankrupting consumers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absence of reasonably-priced generic alternatives.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Despite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fact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generic drugs contain identical ingredients, cure the same symptoms, and cost 70% less, brand-name drugs persistently dominate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generic counterparts.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Indeed, brand-name firms are improperly preventing generic market entry.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Without generic competition, no watchdog exists to curb big pharma’s prohibitive prices.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Despite the Supreme Court’s fleeting fix in FTC v. Actavis, which condemned reverse payment settlements that precluded competition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brand-name firms are employing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other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tactics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predatorily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extend their market exclusivity and charge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consumers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unaffordable prices.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To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prevent brand-name abuse and help infirm patients afford their medication, this Comment proposes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courts apply federal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antitrust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law to brand-name firms that attempt to monopolize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pharma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ceutical market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through anticompetitive means, particularly by abusing Risk Evaluation &amp; Mitigation Strategies (REMS) and by “product hopping.”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To combat exclusionary conduct, courts should mirror the “rule of reason” framework set forth in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Actavis and apply an “enhanced” version specifically tailored to the pharmaceutical industry, giving stronger credence to generic challengers.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In addition to finding brand-name tactics exclusionary, this Comment also proposes that courts adopt a bright-line rule prohibiting brand-name firms from exploiting the “legitimate business” defense to immunize their destructive conduct.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current framework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perpetuates abuse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grants brand-name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firms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ostensibly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indefinite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monopolies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Analyzing brand-name defensive tactics under federal antitrust law would facilitate generic market entry and consequently moderate drug prices.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Even after sacrificing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entire financial portfolios, patients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still unable to afford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medication.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This Comment interprets Actavis as prohibiting the “legitimate business” defense and provides a remedy to deserving consumers by preventing REMS abuse and product hopping, fostering generic competition, and tempering excessive drug prices.</w:t>
      </w:r>
    </w:p>
    <w:p>
      <w:pPr>
        <w:pStyle w:val="Caption"/>
      </w:pPr>
      <w:r>
        <w:t>Source: Small Pharma CP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