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Patent Thickets and Evergreening prevent medical access.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Brough ’24</w:t>
      </w:r>
      <w:r>
        <w:rPr>
          <w:b w:val="0"/>
          <w:i w:val="0"/>
          <w:smallCaps w:val="0"/>
          <w:strike w:val="0"/>
          <w:u w:val="none"/>
        </w:rPr>
        <w:t xml:space="preserve"> (Wayne Brough – researcher of IP and graduate of George Mason University, “Bad Patents Keep Drug Prices High”, Available online: </w:t>
      </w:r>
      <w:r>
        <w:rPr>
          <w:b w:val="0"/>
          <w:i w:val="0"/>
          <w:smallCaps w:val="0"/>
          <w:strike w:val="0"/>
          <w:u w:val="none"/>
        </w:rPr>
        <w:t>, R Street, 5-23-2024, Accessed 7-29-2024)//</w:t>
      </w:r>
      <w:r>
        <w:rPr>
          <w:b w:val="0"/>
          <w:i w:val="0"/>
          <w:smallCaps w:val="0"/>
          <w:strike w:val="0"/>
          <w:u w:val="none"/>
        </w:rPr>
        <w:t>ILake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Pharmaceutical companies have become adept at “gaming” the patent system to extend exclusivity and monopoly power to maximize profits.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Tactics like </w:t>
      </w:r>
      <w:r>
        <w:rPr>
          <w:b w:val="0"/>
          <w:i w:val="0"/>
          <w:smallCaps w:val="0"/>
          <w:strike w:val="0"/>
          <w:sz w:val="22"/>
          <w:u w:val="single"/>
        </w:rPr>
        <w:t>“evergreening”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(making minor modifications to existing drugs to obtain additional patent protections), </w:t>
      </w:r>
      <w:r>
        <w:rPr>
          <w:b w:val="0"/>
          <w:i w:val="0"/>
          <w:smallCaps w:val="0"/>
          <w:strike w:val="0"/>
          <w:sz w:val="22"/>
          <w:u w:val="single"/>
        </w:rPr>
        <w:t>“patent thickets”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(filing many different patents on different aspects of a single drug), </w:t>
      </w:r>
      <w:r>
        <w:rPr>
          <w:b w:val="0"/>
          <w:i w:val="0"/>
          <w:smallCaps w:val="0"/>
          <w:strike w:val="0"/>
          <w:sz w:val="22"/>
          <w:u w:val="single"/>
        </w:rPr>
        <w:t>and “product hopping”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(introducing a new version of a drug as a patent is expiring and encouraging doctors, pharmacists, and patients to switch to the updated version) </w:t>
      </w:r>
      <w:r>
        <w:rPr>
          <w:b w:val="0"/>
          <w:i w:val="0"/>
          <w:smallCaps w:val="0"/>
          <w:strike w:val="0"/>
          <w:sz w:val="22"/>
          <w:u w:val="single"/>
        </w:rPr>
        <w:t>are commonly used to extend monopolies even after the key patent expires.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Celgene’s blockbuster cancer drug </w:t>
      </w:r>
      <w:r>
        <w:rPr>
          <w:b w:val="0"/>
          <w:i w:val="0"/>
          <w:smallCaps w:val="0"/>
          <w:strike w:val="0"/>
          <w:sz w:val="22"/>
          <w:u w:val="single"/>
        </w:rPr>
        <w:t>Revlimid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prime example of this practice. Although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key patent expired in 2019, the drug will not see </w:t>
      </w:r>
      <w:r>
        <w:rPr>
          <w:b/>
          <w:i w:val="0"/>
          <w:smallCaps w:val="0"/>
          <w:strike w:val="0"/>
          <w:sz w:val="22"/>
          <w:u w:val="single"/>
        </w:rPr>
        <w:t>real competition in the marketplace until 2026.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This is because Celgene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now a subsidiary of Bristol Myers Squibb,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been able to prolong the drug’s exclusivity by creating a patent thicket around it. The company filed for an additional </w:t>
      </w:r>
      <w:r>
        <w:rPr>
          <w:b/>
          <w:i w:val="0"/>
          <w:smallCaps w:val="0"/>
          <w:strike w:val="0"/>
          <w:sz w:val="22"/>
          <w:u w:val="single"/>
        </w:rPr>
        <w:t>206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drug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—117 of which were approved. The costs of such patent thickets can be substantial to consumers and the health care system: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price of Revlimid increased from </w:t>
      </w:r>
      <w:r>
        <w:rPr>
          <w:b/>
          <w:i w:val="0"/>
          <w:smallCaps w:val="0"/>
          <w:strike w:val="0"/>
          <w:sz w:val="22"/>
          <w:u w:val="single"/>
        </w:rPr>
        <w:t>$6,000 per month in 2002 to $24,000 per month in 2022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resulting in a total estimated cost of </w:t>
      </w:r>
      <w:r>
        <w:rPr>
          <w:b/>
          <w:i w:val="0"/>
          <w:smallCaps w:val="0"/>
          <w:strike w:val="0"/>
          <w:sz w:val="22"/>
          <w:u w:val="single"/>
        </w:rPr>
        <w:t>$45 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Americans.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