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companies continue to exploit their customers, resulting in skyrocketing prices.</w:t>
      </w:r>
    </w:p>
    <w:p>
      <w:pPr>
        <w:spacing w:after="80"/>
      </w:pPr>
      <w:r>
        <w:rPr>
          <w:b/>
          <w:i w:val="0"/>
          <w:smallCaps w:val="0"/>
          <w:strike w:val="0"/>
          <w:sz w:val="26"/>
          <w:u w:val="none"/>
        </w:rPr>
        <w:t>Meller and Ahmed ’19</w:t>
      </w:r>
      <w:r>
        <w:rPr>
          <w:b w:val="0"/>
          <w:i w:val="0"/>
          <w:smallCaps w:val="0"/>
          <w:strike w:val="0"/>
          <w:u w:val="none"/>
        </w:rPr>
        <w:t xml:space="preserve"> (Abbey Meller and Hauwa Ahmed, “How Big Pharma Reaps Profits While Hurting Everyday Americans”, American Progress, Available online: </w:t>
      </w:r>
      <w:r>
        <w:rPr>
          <w:b w:val="0"/>
          <w:i w:val="0"/>
          <w:smallCaps w:val="0"/>
          <w:strike w:val="0"/>
          <w:u w:val="none"/>
        </w:rPr>
        <w:t>, 8-30-2019, Accessed 7-26-2024)//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i w:val="0"/>
          <w:smallCaps w:val="0"/>
          <w:strike w:val="0"/>
          <w:sz w:val="22"/>
          <w:highlight w:val="yellow"/>
          <w:u w:val="single"/>
        </w:rPr>
        <w:t>Billions of</w:t>
      </w:r>
      <w:r>
        <w:rPr>
          <w:b/>
          <w:i w:val="0"/>
          <w:smallCaps w:val="0"/>
          <w:strike w:val="0"/>
          <w:sz w:val="22"/>
          <w:u w:val="single"/>
        </w:rPr>
        <w:t xml:space="preserve"> taxpayer </w:t>
      </w:r>
      <w:r>
        <w:rPr>
          <w:b/>
          <w:i w:val="0"/>
          <w:smallCaps w:val="0"/>
          <w:strike w:val="0"/>
          <w:sz w:val="22"/>
          <w:highlight w:val="yellow"/>
          <w:u w:val="single"/>
        </w:rPr>
        <w:t>dollars</w:t>
      </w:r>
      <w:r>
        <w:rPr>
          <w:b w:val="0"/>
          <w:i w:val="0"/>
          <w:smallCaps w:val="0"/>
          <w:strike w:val="0"/>
          <w:sz w:val="22"/>
          <w:highlight w:val="yellow"/>
          <w:u w:val="single"/>
        </w:rPr>
        <w:t xml:space="preserve"> go into</w:t>
      </w:r>
      <w:r>
        <w:rPr>
          <w:b w:val="0"/>
          <w:i w:val="0"/>
          <w:smallCaps w:val="0"/>
          <w:strike w:val="0"/>
          <w:sz w:val="22"/>
          <w:u w:val="single"/>
        </w:rPr>
        <w:t xml:space="preserve"> the creation and marketing of </w:t>
      </w:r>
      <w:r>
        <w:rPr>
          <w:b w:val="0"/>
          <w:i w:val="0"/>
          <w:smallCaps w:val="0"/>
          <w:strike w:val="0"/>
          <w:sz w:val="22"/>
          <w:highlight w:val="yellow"/>
          <w:u w:val="single"/>
        </w:rPr>
        <w:t>new drugs</w:t>
      </w:r>
      <w:r>
        <w:rPr>
          <w:b w:val="0"/>
          <w:i w:val="0"/>
          <w:smallCaps w:val="0"/>
          <w:strike w:val="0"/>
          <w:sz w:val="22"/>
          <w:u w:val="single"/>
        </w:rPr>
        <w:t>.</w:t>
      </w:r>
      <w:r>
        <w:rPr>
          <w:b w:val="0"/>
          <w:i w:val="0"/>
          <w:smallCaps w:val="0"/>
          <w:strike w:val="0"/>
          <w:sz w:val="16"/>
          <w:u w:val="none"/>
        </w:rPr>
        <w:t xml:space="preserve"> The Los Angeles Times reports that, “</w:t>
      </w:r>
      <w:r>
        <w:rPr>
          <w:b w:val="0"/>
          <w:i w:val="0"/>
          <w:smallCaps w:val="0"/>
          <w:strike w:val="0"/>
          <w:sz w:val="22"/>
          <w:u w:val="single"/>
        </w:rPr>
        <w:t xml:space="preserve">Since the 1930s, the </w:t>
      </w:r>
      <w:r>
        <w:rPr>
          <w:b w:val="0"/>
          <w:i w:val="0"/>
          <w:smallCaps w:val="0"/>
          <w:strike w:val="0"/>
          <w:sz w:val="22"/>
          <w:highlight w:val="yellow"/>
          <w:u w:val="single"/>
        </w:rPr>
        <w:t>N</w:t>
      </w:r>
      <w:r>
        <w:rPr>
          <w:b w:val="0"/>
          <w:i w:val="0"/>
          <w:smallCaps w:val="0"/>
          <w:strike w:val="0"/>
          <w:sz w:val="22"/>
          <w:u w:val="single"/>
        </w:rPr>
        <w:t xml:space="preserve">ational </w:t>
      </w:r>
      <w:r>
        <w:rPr>
          <w:b w:val="0"/>
          <w:i w:val="0"/>
          <w:smallCaps w:val="0"/>
          <w:strike w:val="0"/>
          <w:sz w:val="22"/>
          <w:highlight w:val="yellow"/>
          <w:u w:val="single"/>
        </w:rPr>
        <w:t>I</w:t>
      </w:r>
      <w:r>
        <w:rPr>
          <w:b w:val="0"/>
          <w:i w:val="0"/>
          <w:smallCaps w:val="0"/>
          <w:strike w:val="0"/>
          <w:sz w:val="22"/>
          <w:u w:val="single"/>
        </w:rPr>
        <w:t xml:space="preserve">nstitutes of </w:t>
      </w:r>
      <w:r>
        <w:rPr>
          <w:b w:val="0"/>
          <w:i w:val="0"/>
          <w:smallCaps w:val="0"/>
          <w:strike w:val="0"/>
          <w:sz w:val="22"/>
          <w:highlight w:val="yellow"/>
          <w:u w:val="single"/>
        </w:rPr>
        <w:t>H</w:t>
      </w:r>
      <w:r>
        <w:rPr>
          <w:b w:val="0"/>
          <w:i w:val="0"/>
          <w:smallCaps w:val="0"/>
          <w:strike w:val="0"/>
          <w:sz w:val="22"/>
          <w:u w:val="single"/>
        </w:rPr>
        <w:t xml:space="preserve">ealth has </w:t>
      </w:r>
      <w:r>
        <w:rPr>
          <w:b w:val="0"/>
          <w:i w:val="0"/>
          <w:smallCaps w:val="0"/>
          <w:strike w:val="0"/>
          <w:sz w:val="22"/>
          <w:highlight w:val="yellow"/>
          <w:u w:val="single"/>
        </w:rPr>
        <w:t>invested</w:t>
      </w:r>
      <w:r>
        <w:rPr>
          <w:b w:val="0"/>
          <w:i w:val="0"/>
          <w:smallCaps w:val="0"/>
          <w:strike w:val="0"/>
          <w:sz w:val="22"/>
          <w:u w:val="single"/>
        </w:rPr>
        <w:t xml:space="preserve"> close to </w:t>
      </w:r>
      <w:r>
        <w:rPr>
          <w:b/>
          <w:i w:val="0"/>
          <w:smallCaps w:val="0"/>
          <w:strike w:val="0"/>
          <w:sz w:val="22"/>
          <w:highlight w:val="yellow"/>
          <w:u w:val="single"/>
        </w:rPr>
        <w:t>$900 billion</w:t>
      </w:r>
      <w:r>
        <w:rPr>
          <w:b/>
          <w:i w:val="0"/>
          <w:smallCaps w:val="0"/>
          <w:strike w:val="0"/>
          <w:sz w:val="22"/>
          <w:u w:val="single"/>
        </w:rPr>
        <w:t xml:space="preserve"> in the basic and applied research</w:t>
      </w:r>
      <w:r>
        <w:rPr>
          <w:b w:val="0"/>
          <w:i w:val="0"/>
          <w:smallCaps w:val="0"/>
          <w:strike w:val="0"/>
          <w:sz w:val="22"/>
          <w:u w:val="single"/>
        </w:rPr>
        <w:t xml:space="preserve"> that formed both the pharmaceutical and biotechnology sectors.</w:t>
      </w:r>
      <w:r>
        <w:rPr>
          <w:b w:val="0"/>
          <w:i w:val="0"/>
          <w:smallCaps w:val="0"/>
          <w:strike w:val="0"/>
          <w:sz w:val="16"/>
          <w:u w:val="none"/>
        </w:rPr>
        <w:t xml:space="preserve">” </w:t>
      </w:r>
      <w:r>
        <w:rPr>
          <w:b w:val="0"/>
          <w:i w:val="0"/>
          <w:smallCaps w:val="0"/>
          <w:strike w:val="0"/>
          <w:sz w:val="22"/>
          <w:highlight w:val="yellow"/>
          <w:u w:val="single"/>
        </w:rPr>
        <w:t>Despite</w:t>
      </w:r>
      <w:r>
        <w:rPr>
          <w:b w:val="0"/>
          <w:i w:val="0"/>
          <w:smallCaps w:val="0"/>
          <w:strike w:val="0"/>
          <w:sz w:val="22"/>
          <w:u w:val="single"/>
        </w:rPr>
        <w:t xml:space="preserve"> taxpayers’ crucial </w:t>
      </w:r>
      <w:r>
        <w:rPr>
          <w:b w:val="0"/>
          <w:i w:val="0"/>
          <w:smallCaps w:val="0"/>
          <w:strike w:val="0"/>
          <w:sz w:val="22"/>
          <w:highlight w:val="yellow"/>
          <w:u w:val="single"/>
        </w:rPr>
        <w:t>investment</w:t>
      </w:r>
      <w:r>
        <w:rPr>
          <w:b w:val="0"/>
          <w:i w:val="0"/>
          <w:smallCaps w:val="0"/>
          <w:strike w:val="0"/>
          <w:sz w:val="22"/>
          <w:u w:val="single"/>
        </w:rPr>
        <w:t xml:space="preserve">, U.S. </w:t>
      </w:r>
      <w:r>
        <w:rPr>
          <w:b w:val="0"/>
          <w:i w:val="0"/>
          <w:smallCaps w:val="0"/>
          <w:strike w:val="0"/>
          <w:sz w:val="22"/>
          <w:highlight w:val="yellow"/>
          <w:u w:val="single"/>
        </w:rPr>
        <w:t>consumers</w:t>
      </w:r>
      <w:r>
        <w:rPr>
          <w:b w:val="0"/>
          <w:i w:val="0"/>
          <w:smallCaps w:val="0"/>
          <w:strike w:val="0"/>
          <w:sz w:val="22"/>
          <w:u w:val="single"/>
        </w:rPr>
        <w:t xml:space="preserve"> are </w:t>
      </w:r>
      <w:r>
        <w:rPr>
          <w:b/>
          <w:i w:val="0"/>
          <w:smallCaps w:val="0"/>
          <w:strike w:val="0"/>
          <w:sz w:val="22"/>
          <w:highlight w:val="yellow"/>
          <w:u w:val="single"/>
        </w:rPr>
        <w:t>increasingly paying more</w:t>
      </w:r>
      <w:r>
        <w:rPr>
          <w:b w:val="0"/>
          <w:i w:val="0"/>
          <w:smallCaps w:val="0"/>
          <w:strike w:val="0"/>
          <w:sz w:val="22"/>
          <w:u w:val="single"/>
        </w:rPr>
        <w:t xml:space="preserve"> for their prescription drugs.</w:t>
      </w:r>
      <w:r>
        <w:rPr>
          <w:b w:val="0"/>
          <w:i w:val="0"/>
          <w:smallCaps w:val="0"/>
          <w:strike w:val="0"/>
          <w:sz w:val="16"/>
          <w:u w:val="none"/>
        </w:rPr>
        <w:t xml:space="preserve"> A 2018 study on the National Institute of Health’s (NIH) financial contributions to new drug approvals found that the agency “contributed to published research associated with every one of the 210 new drugs approved by the Food and Drug Administration from 2010–2016.” </w:t>
      </w:r>
      <w:r>
        <w:rPr>
          <w:b w:val="0"/>
          <w:i w:val="0"/>
          <w:smallCaps w:val="0"/>
          <w:strike w:val="0"/>
          <w:sz w:val="22"/>
          <w:u w:val="single"/>
        </w:rPr>
        <w:t xml:space="preserve">More than </w:t>
      </w:r>
      <w:r>
        <w:rPr>
          <w:b/>
          <w:i w:val="0"/>
          <w:smallCaps w:val="0"/>
          <w:strike w:val="0"/>
          <w:sz w:val="22"/>
          <w:highlight w:val="yellow"/>
          <w:u w:val="single"/>
        </w:rPr>
        <w:t>$100 billion</w:t>
      </w:r>
      <w:r>
        <w:rPr>
          <w:b w:val="0"/>
          <w:i w:val="0"/>
          <w:smallCaps w:val="0"/>
          <w:strike w:val="0"/>
          <w:sz w:val="22"/>
          <w:u w:val="single"/>
        </w:rPr>
        <w:t xml:space="preserve"> in NIH funding </w:t>
      </w:r>
      <w:r>
        <w:rPr>
          <w:b w:val="0"/>
          <w:i w:val="0"/>
          <w:smallCaps w:val="0"/>
          <w:strike w:val="0"/>
          <w:sz w:val="22"/>
          <w:highlight w:val="yellow"/>
          <w:u w:val="single"/>
        </w:rPr>
        <w:t>went to</w:t>
      </w:r>
      <w:r>
        <w:rPr>
          <w:b w:val="0"/>
          <w:i w:val="0"/>
          <w:smallCaps w:val="0"/>
          <w:strike w:val="0"/>
          <w:sz w:val="22"/>
          <w:u w:val="single"/>
        </w:rPr>
        <w:t xml:space="preserve">ward </w:t>
      </w:r>
      <w:r>
        <w:rPr>
          <w:b w:val="0"/>
          <w:i w:val="0"/>
          <w:smallCaps w:val="0"/>
          <w:strike w:val="0"/>
          <w:sz w:val="22"/>
          <w:highlight w:val="yellow"/>
          <w:u w:val="single"/>
        </w:rPr>
        <w:t>research</w:t>
      </w:r>
      <w:r>
        <w:rPr>
          <w:b w:val="0"/>
          <w:i w:val="0"/>
          <w:smallCaps w:val="0"/>
          <w:strike w:val="0"/>
          <w:sz w:val="16"/>
          <w:u w:val="none"/>
        </w:rPr>
        <w:t xml:space="preserve"> that contributed directly or indirectly to the 210 drugs approved during that six-year period. The NIH Research Project Grant (R01)—which supports health-related research—was by far the most common kind of grant used to fund the science that supported the new drugs. In all, </w:t>
      </w:r>
      <w:r>
        <w:rPr>
          <w:b w:val="0"/>
          <w:i w:val="0"/>
          <w:smallCaps w:val="0"/>
          <w:strike w:val="0"/>
          <w:sz w:val="22"/>
          <w:highlight w:val="yellow"/>
          <w:u w:val="single"/>
        </w:rPr>
        <w:t>NIH gave</w:t>
      </w:r>
      <w:r>
        <w:rPr>
          <w:b w:val="0"/>
          <w:i w:val="0"/>
          <w:smallCaps w:val="0"/>
          <w:strike w:val="0"/>
          <w:sz w:val="22"/>
          <w:u w:val="single"/>
        </w:rPr>
        <w:t xml:space="preserve"> out nearly </w:t>
      </w:r>
      <w:r>
        <w:rPr>
          <w:b/>
          <w:i w:val="0"/>
          <w:smallCaps w:val="0"/>
          <w:strike w:val="0"/>
          <w:sz w:val="22"/>
          <w:highlight w:val="yellow"/>
          <w:u w:val="single"/>
        </w:rPr>
        <w:t>118,000</w:t>
      </w:r>
      <w:r>
        <w:rPr>
          <w:b/>
          <w:i w:val="0"/>
          <w:smallCaps w:val="0"/>
          <w:strike w:val="0"/>
          <w:sz w:val="22"/>
          <w:u w:val="single"/>
        </w:rPr>
        <w:t xml:space="preserve"> R01 </w:t>
      </w:r>
      <w:r>
        <w:rPr>
          <w:b/>
          <w:i w:val="0"/>
          <w:smallCaps w:val="0"/>
          <w:strike w:val="0"/>
          <w:sz w:val="22"/>
          <w:highlight w:val="yellow"/>
          <w:u w:val="single"/>
        </w:rPr>
        <w:t>grants</w:t>
      </w:r>
      <w:r>
        <w:rPr>
          <w:b w:val="0"/>
          <w:i w:val="0"/>
          <w:smallCaps w:val="0"/>
          <w:strike w:val="0"/>
          <w:sz w:val="22"/>
          <w:u w:val="single"/>
        </w:rPr>
        <w:t xml:space="preserve"> related to those drugs </w:t>
      </w:r>
      <w:r>
        <w:rPr>
          <w:b w:val="0"/>
          <w:i w:val="0"/>
          <w:smallCaps w:val="0"/>
          <w:strike w:val="0"/>
          <w:sz w:val="22"/>
          <w:highlight w:val="yellow"/>
          <w:u w:val="single"/>
        </w:rPr>
        <w:t>from</w:t>
      </w:r>
      <w:r>
        <w:rPr>
          <w:b w:val="0"/>
          <w:i w:val="0"/>
          <w:smallCaps w:val="0"/>
          <w:strike w:val="0"/>
          <w:sz w:val="22"/>
          <w:u w:val="single"/>
        </w:rPr>
        <w:t xml:space="preserve"> 20</w:t>
      </w:r>
      <w:r>
        <w:rPr>
          <w:b w:val="0"/>
          <w:i w:val="0"/>
          <w:smallCaps w:val="0"/>
          <w:strike w:val="0"/>
          <w:sz w:val="22"/>
          <w:highlight w:val="yellow"/>
          <w:u w:val="single"/>
        </w:rPr>
        <w:t>10 to</w:t>
      </w:r>
      <w:r>
        <w:rPr>
          <w:b w:val="0"/>
          <w:i w:val="0"/>
          <w:smallCaps w:val="0"/>
          <w:strike w:val="0"/>
          <w:sz w:val="22"/>
          <w:u w:val="single"/>
        </w:rPr>
        <w:t xml:space="preserve"> 20</w:t>
      </w:r>
      <w:r>
        <w:rPr>
          <w:b w:val="0"/>
          <w:i w:val="0"/>
          <w:smallCaps w:val="0"/>
          <w:strike w:val="0"/>
          <w:sz w:val="22"/>
          <w:highlight w:val="yellow"/>
          <w:u w:val="single"/>
        </w:rPr>
        <w:t>16</w:t>
      </w:r>
      <w:r>
        <w:rPr>
          <w:b w:val="0"/>
          <w:i w:val="0"/>
          <w:smallCaps w:val="0"/>
          <w:strike w:val="0"/>
          <w:sz w:val="22"/>
          <w:u w:val="singl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