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 intersects with semiotics – creates boundaries to dissent </w:t>
      </w:r>
    </w:p>
    <w:p>
      <w:pPr>
        <w:spacing w:after="80"/>
      </w:pPr>
      <w:r>
        <w:rPr>
          <w:b w:val="0"/>
          <w:i w:val="0"/>
          <w:smallCaps w:val="0"/>
          <w:strike w:val="0"/>
          <w:sz w:val="26"/>
          <w:u w:val="none"/>
        </w:rPr>
        <w:t xml:space="preserve">Sonia </w:t>
      </w:r>
      <w:r>
        <w:rPr>
          <w:b/>
          <w:i w:val="0"/>
          <w:smallCaps w:val="0"/>
          <w:strike w:val="0"/>
          <w:sz w:val="26"/>
          <w:u w:val="none"/>
        </w:rPr>
        <w:t>Katyal</w:t>
      </w:r>
      <w:r>
        <w:rPr>
          <w:b w:val="0"/>
          <w:i w:val="0"/>
          <w:smallCaps w:val="0"/>
          <w:strike w:val="0"/>
          <w:sz w:val="26"/>
          <w:u w:val="none"/>
        </w:rPr>
        <w:t xml:space="preserve">, Jan </w:t>
      </w:r>
      <w:r>
        <w:rPr>
          <w:b/>
          <w:i w:val="0"/>
          <w:smallCaps w:val="0"/>
          <w:strike w:val="0"/>
          <w:sz w:val="26"/>
          <w:u w:val="none"/>
        </w:rPr>
        <w:t>06</w:t>
      </w:r>
      <w:r>
        <w:rPr>
          <w:b w:val="0"/>
          <w:i w:val="0"/>
          <w:smallCaps w:val="0"/>
          <w:strike w:val="0"/>
          <w:sz w:val="26"/>
          <w:u w:val="none"/>
        </w:rPr>
        <w:t xml:space="preserve">, American Legal Scholar and current Associate Dean of Faculty Development and Research at UC Berkeley School of Law, Semiotic Disobedience, Washington University of Law Review Volume 84 Issue 3, </w:t>
      </w:r>
      <w:r>
        <w:rPr>
          <w:b w:val="0"/>
          <w:i w:val="0"/>
          <w:smallCaps w:val="0"/>
          <w:strike w:val="0"/>
          <w:sz w:val="26"/>
          <w:u w:val="none"/>
        </w:rPr>
        <w:t>.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AN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Viewed through this prism,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is no different.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creates boundaries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enfranchise certain types of speech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the expense of others.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And, in doing so,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enables certain types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legal and illegal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dissent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conferring legitimacy on some types of speech through the prism of fair use, but often excluding other types of expression from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Drawing on insights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media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semiotic theory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 argue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 law tends only to protect appropriative expression that occupies the extreme poles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audience interpretation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—works that either adopt, oppose, or completely transform the cultural meaning of an original commodity. Because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 fails to 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appropriative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works that fall short of these poles,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marketplace of speech remains locked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perpetual dance of opposites rather than protecting true expressive diversity. Rather than expanding the marketplace of protected speech, as the First Amendment attempts to do,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 law tends to narrow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boundaries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thereby expanding the boundaries of the prohibited marketplace of speech instead.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