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Definitions</w:t>
      </w:r>
    </w:p>
    <w:p>
      <w:pPr>
        <w:spacing w:after="80"/>
      </w:pPr>
      <w:r>
        <w:rPr>
          <w:b/>
          <w:i w:val="0"/>
          <w:smallCaps w:val="0"/>
          <w:strike w:val="0"/>
          <w:u w:val="none"/>
        </w:rPr>
        <w:t>SHOP SAFE Act</w:t>
      </w:r>
      <w:r>
        <w:rPr>
          <w:b w:val="0"/>
          <w:i w:val="0"/>
          <w:smallCaps w:val="0"/>
          <w:strike w:val="0"/>
          <w:u w:val="none"/>
        </w:rPr>
        <w:t xml:space="preserve"> – a lot of cards, especially a lot of negative cards, refer to this. It’s a law that has been proposed </w:t>
      </w:r>
      <w:r>
        <w:rPr>
          <w:b w:val="0"/>
          <w:i w:val="0"/>
          <w:smallCaps w:val="0"/>
          <w:strike w:val="0"/>
          <w:u w:val="none"/>
        </w:rPr>
        <w:t xml:space="preserve">in Congress to essentially do the plan legislatively (it won’t pass). </w:t>
      </w:r>
      <w:r>
        <w:rPr>
          <w:b w:val="0"/>
          <w:i w:val="0"/>
          <w:smallCaps w:val="0"/>
          <w:strike w:val="0"/>
          <w:u w:val="none"/>
        </w:rPr>
        <w:t>There may be new House hearings on it over the summer, so if you’re interested in this affirmative, it’s worth your time to follow the hearings.</w:t>
      </w:r>
      <w:r>
        <w:rPr>
          <w:b w:val="0"/>
          <w:i w:val="0"/>
          <w:smallCaps w:val="0"/>
          <w:strike w:val="0"/>
          <w:u w:val="none"/>
        </w:rPr>
        <w:t xml:space="preserve"> There are a lot of things about SHOP SAFE that don’t apply to this </w:t>
      </w:r>
      <w:r>
        <w:rPr>
          <w:b w:val="0"/>
          <w:i w:val="0"/>
          <w:smallCaps w:val="0"/>
          <w:strike w:val="0"/>
          <w:u w:val="none"/>
        </w:rPr>
        <w:t>aff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 xml:space="preserve">– but those cards are not in the negative file. The cards that do mention SHOP SAFE </w:t>
      </w:r>
      <w:r>
        <w:rPr>
          <w:b w:val="0"/>
          <w:i w:val="0"/>
          <w:smallCaps w:val="0"/>
          <w:strike w:val="0"/>
          <w:u w:val="single"/>
        </w:rPr>
        <w:t>do</w:t>
      </w:r>
      <w:r>
        <w:rPr>
          <w:b w:val="0"/>
          <w:i w:val="0"/>
          <w:smallCaps w:val="0"/>
          <w:strike w:val="0"/>
          <w:u w:val="none"/>
        </w:rPr>
        <w:t xml:space="preserve"> apply, because they are about strengthening contributory liability, which is </w:t>
      </w:r>
      <w:r>
        <w:rPr>
          <w:b w:val="0"/>
          <w:i w:val="0"/>
          <w:smallCaps w:val="0"/>
          <w:strike w:val="0"/>
          <w:u w:val="none"/>
        </w:rPr>
        <w:t xml:space="preserve">the </w:t>
      </w:r>
      <w:r>
        <w:rPr>
          <w:b w:val="0"/>
          <w:i w:val="0"/>
          <w:smallCaps w:val="0"/>
          <w:strike w:val="0"/>
          <w:u w:val="none"/>
        </w:rPr>
        <w:t>aff</w:t>
      </w:r>
      <w:r>
        <w:rPr>
          <w:b w:val="0"/>
          <w:i w:val="0"/>
          <w:smallCaps w:val="0"/>
          <w:strike w:val="0"/>
          <w:u w:val="none"/>
        </w:rPr>
        <w:t>.</w:t>
      </w:r>
      <w:r>
        <w:rPr>
          <w:b w:val="0"/>
          <w:i w:val="0"/>
          <w:smallCaps w:val="0"/>
          <w:strike w:val="0"/>
          <w:u w:val="none"/>
        </w:rPr>
        <w:t xml:space="preserve"> The </w:t>
      </w:r>
      <w:r>
        <w:rPr>
          <w:b w:val="0"/>
          <w:i w:val="0"/>
          <w:smallCaps w:val="0"/>
          <w:strike w:val="0"/>
          <w:u w:val="none"/>
        </w:rPr>
        <w:t>aff</w:t>
      </w:r>
      <w:r>
        <w:rPr>
          <w:b w:val="0"/>
          <w:i w:val="0"/>
          <w:smallCaps w:val="0"/>
          <w:strike w:val="0"/>
          <w:u w:val="none"/>
        </w:rPr>
        <w:t xml:space="preserve"> is </w:t>
      </w:r>
      <w:r>
        <w:rPr>
          <w:b w:val="0"/>
          <w:i w:val="0"/>
          <w:smallCaps w:val="0"/>
          <w:strike w:val="0"/>
          <w:u w:val="single"/>
        </w:rPr>
        <w:t>slightly</w:t>
      </w:r>
      <w:r>
        <w:rPr>
          <w:b w:val="0"/>
          <w:i w:val="0"/>
          <w:smallCaps w:val="0"/>
          <w:strike w:val="0"/>
          <w:u w:val="none"/>
        </w:rPr>
        <w:t xml:space="preserve"> different from the standard in SHOP SAFE in that it will claim that ‘constructive knowledge’ is a more flexible test to apply contributory liability. But for the most part, the negative evidence is relevant.</w:t>
      </w:r>
    </w:p>
    <w:p>
      <w:pPr>
        <w:spacing w:after="60"/>
      </w:pPr>
      <w:r>
        <w:rPr>
          <w:b/>
          <w:i w:val="0"/>
          <w:smallCaps w:val="0"/>
          <w:strike w:val="0"/>
          <w:u w:val="none"/>
        </w:rPr>
        <w:t>Contributory liability</w:t>
      </w:r>
      <w:r>
        <w:rPr>
          <w:b w:val="0"/>
          <w:i w:val="0"/>
          <w:smallCaps w:val="0"/>
          <w:strike w:val="0"/>
          <w:u w:val="none"/>
        </w:rPr>
        <w:t xml:space="preserve"> – this is a form of secondary liability that holds a </w:t>
      </w:r>
      <w:r>
        <w:rPr>
          <w:b w:val="0"/>
          <w:i w:val="0"/>
          <w:smallCaps w:val="0"/>
          <w:strike w:val="0"/>
          <w:u w:val="none"/>
        </w:rPr>
        <w:t xml:space="preserve">third party </w:t>
      </w:r>
      <w:r>
        <w:rPr>
          <w:b w:val="0"/>
          <w:i w:val="0"/>
          <w:smallCaps w:val="0"/>
          <w:strike w:val="0"/>
          <w:u w:val="none"/>
        </w:rPr>
        <w:t xml:space="preserve">liable for counterfeiting if they </w:t>
      </w:r>
      <w:r>
        <w:rPr>
          <w:b w:val="0"/>
          <w:i w:val="0"/>
          <w:smallCaps w:val="0"/>
          <w:strike w:val="0"/>
          <w:u w:val="none"/>
        </w:rPr>
        <w:t>knew about</w:t>
      </w:r>
      <w:r>
        <w:rPr>
          <w:b w:val="0"/>
          <w:i w:val="0"/>
          <w:smallCaps w:val="0"/>
          <w:strike w:val="0"/>
          <w:u w:val="none"/>
        </w:rPr>
        <w:t xml:space="preserve"> trademark infringement</w:t>
      </w:r>
      <w:r>
        <w:rPr>
          <w:b w:val="0"/>
          <w:i w:val="0"/>
          <w:smallCaps w:val="0"/>
          <w:strike w:val="0"/>
          <w:u w:val="none"/>
        </w:rPr>
        <w:t xml:space="preserve"> on their platform and did nothing to stop it</w:t>
      </w:r>
      <w:r>
        <w:rPr>
          <w:b w:val="0"/>
          <w:i w:val="0"/>
          <w:smallCaps w:val="0"/>
          <w:strike w:val="0"/>
          <w:u w:val="none"/>
        </w:rPr>
        <w:t xml:space="preserve">. </w:t>
      </w:r>
      <w:r>
        <w:rPr>
          <w:b w:val="0"/>
          <w:i w:val="0"/>
          <w:smallCaps w:val="0"/>
          <w:strike w:val="0"/>
          <w:u w:val="none"/>
        </w:rPr>
        <w:t xml:space="preserve">Contributory liability applies to trademark counterfeiting now, but it depends on the </w:t>
      </w:r>
      <w:r>
        <w:rPr>
          <w:b w:val="0"/>
          <w:i w:val="0"/>
          <w:smallCaps w:val="0"/>
          <w:strike w:val="0"/>
          <w:u w:val="single"/>
        </w:rPr>
        <w:t>standard of knowledge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 xml:space="preserve">that courts apply to determine whether an online platform </w:t>
      </w:r>
      <w:r>
        <w:rPr>
          <w:b w:val="0"/>
          <w:i w:val="0"/>
          <w:smallCaps w:val="0"/>
          <w:strike w:val="0"/>
          <w:u w:val="none"/>
        </w:rPr>
        <w:t>‘knew’ infringement was occurring.</w:t>
      </w:r>
    </w:p>
    <w:p>
      <w:pPr>
        <w:spacing w:after="60"/>
      </w:pPr>
      <w:r>
        <w:rPr>
          <w:b/>
          <w:i w:val="0"/>
          <w:smallCaps w:val="0"/>
          <w:strike w:val="0"/>
          <w:u w:val="none"/>
        </w:rPr>
        <w:t>Specific knowledge</w:t>
      </w:r>
      <w:r>
        <w:rPr>
          <w:b w:val="0"/>
          <w:i w:val="0"/>
          <w:smallCaps w:val="0"/>
          <w:strike w:val="0"/>
          <w:u w:val="none"/>
        </w:rPr>
        <w:t xml:space="preserve"> – also called “contemporary knowledge” or “actual knowledge”. </w:t>
      </w:r>
      <w:r>
        <w:rPr>
          <w:b w:val="0"/>
          <w:i w:val="0"/>
          <w:smallCaps w:val="0"/>
          <w:strike w:val="0"/>
          <w:u w:val="none"/>
        </w:rPr>
        <w:t xml:space="preserve">This is the </w:t>
      </w:r>
      <w:r>
        <w:rPr>
          <w:b w:val="0"/>
          <w:i w:val="0"/>
          <w:smallCaps w:val="0"/>
          <w:strike w:val="0"/>
          <w:u w:val="single"/>
        </w:rPr>
        <w:t>current</w:t>
      </w:r>
      <w:r>
        <w:rPr>
          <w:b w:val="0"/>
          <w:i w:val="0"/>
          <w:smallCaps w:val="0"/>
          <w:strike w:val="0"/>
          <w:u w:val="none"/>
        </w:rPr>
        <w:t xml:space="preserve"> standard for determining contributory trademark liability. </w:t>
      </w:r>
      <w:r>
        <w:rPr>
          <w:b w:val="0"/>
          <w:i w:val="0"/>
          <w:smallCaps w:val="0"/>
          <w:strike w:val="0"/>
          <w:u w:val="none"/>
        </w:rPr>
        <w:t>In the 2</w:t>
      </w:r>
      <w:r>
        <w:rPr>
          <w:b w:val="0"/>
          <w:i w:val="0"/>
          <w:smallCaps w:val="0"/>
          <w:strike w:val="0"/>
          <w:u w:val="none"/>
        </w:rPr>
        <w:t>nd</w:t>
      </w:r>
      <w:r>
        <w:rPr>
          <w:b w:val="0"/>
          <w:i w:val="0"/>
          <w:smallCaps w:val="0"/>
          <w:strike w:val="0"/>
          <w:u w:val="none"/>
        </w:rPr>
        <w:t xml:space="preserve"> Circuit case </w:t>
      </w:r>
      <w:r>
        <w:rPr>
          <w:b w:val="0"/>
          <w:i/>
          <w:smallCaps w:val="0"/>
          <w:strike w:val="0"/>
          <w:u w:val="none"/>
        </w:rPr>
        <w:t>Tiffany v. eBay</w:t>
      </w:r>
      <w:r>
        <w:rPr>
          <w:b w:val="0"/>
          <w:i w:val="0"/>
          <w:smallCaps w:val="0"/>
          <w:strike w:val="0"/>
          <w:u w:val="none"/>
        </w:rPr>
        <w:t xml:space="preserve"> (2010), the court </w:t>
      </w:r>
      <w:r>
        <w:rPr>
          <w:b w:val="0"/>
          <w:i w:val="0"/>
          <w:smallCaps w:val="0"/>
          <w:strike w:val="0"/>
          <w:u w:val="none"/>
        </w:rPr>
        <w:t xml:space="preserve">held that eBay’s liability for counterfeit Tiffany products sold on its site required eBay to </w:t>
      </w:r>
      <w:r>
        <w:rPr>
          <w:b w:val="0"/>
          <w:i w:val="0"/>
          <w:smallCaps w:val="0"/>
          <w:strike w:val="0"/>
          <w:u w:val="none"/>
        </w:rPr>
        <w:t xml:space="preserve">remove counterfeit listings that were reported to it, but that eBay had </w:t>
      </w:r>
      <w:r>
        <w:rPr>
          <w:b w:val="0"/>
          <w:i w:val="0"/>
          <w:smallCaps w:val="0"/>
          <w:strike w:val="0"/>
          <w:u w:val="single"/>
        </w:rPr>
        <w:t>no further obligation</w:t>
      </w:r>
      <w:r>
        <w:rPr>
          <w:b w:val="0"/>
          <w:i w:val="0"/>
          <w:smallCaps w:val="0"/>
          <w:strike w:val="0"/>
          <w:u w:val="none"/>
        </w:rPr>
        <w:t xml:space="preserve"> to police its website</w:t>
      </w:r>
      <w:r>
        <w:rPr>
          <w:b w:val="0"/>
          <w:i w:val="0"/>
          <w:smallCaps w:val="0"/>
          <w:strike w:val="0"/>
          <w:u w:val="none"/>
        </w:rPr>
        <w:t>, because it lacked specific knowledge of other counterfeiters</w:t>
      </w:r>
      <w:r>
        <w:rPr>
          <w:b w:val="0"/>
          <w:i w:val="0"/>
          <w:smallCaps w:val="0"/>
          <w:strike w:val="0"/>
          <w:u w:val="none"/>
        </w:rPr>
        <w:t>.</w:t>
      </w:r>
    </w:p>
    <w:p>
      <w:pPr>
        <w:spacing w:after="60"/>
      </w:pPr>
      <w:r>
        <w:rPr>
          <w:b/>
          <w:i w:val="0"/>
          <w:smallCaps w:val="0"/>
          <w:strike w:val="0"/>
          <w:u w:val="none"/>
        </w:rPr>
        <w:t>Constructive knowledge</w:t>
      </w:r>
      <w:r>
        <w:rPr>
          <w:b w:val="0"/>
          <w:i w:val="0"/>
          <w:smallCaps w:val="0"/>
          <w:strike w:val="0"/>
          <w:u w:val="none"/>
        </w:rPr>
        <w:t xml:space="preserve"> – also called “reason to know” – this is a standard</w:t>
      </w:r>
      <w:r>
        <w:rPr>
          <w:b w:val="0"/>
          <w:i w:val="0"/>
          <w:smallCaps w:val="0"/>
          <w:strike w:val="0"/>
          <w:u w:val="none"/>
        </w:rPr>
        <w:t xml:space="preserve"> for determining contributory liability</w:t>
      </w:r>
      <w:r>
        <w:rPr>
          <w:b w:val="0"/>
          <w:i w:val="0"/>
          <w:smallCaps w:val="0"/>
          <w:strike w:val="0"/>
          <w:u w:val="none"/>
        </w:rPr>
        <w:t xml:space="preserve"> developed in the case </w:t>
      </w:r>
      <w:r>
        <w:rPr>
          <w:b w:val="0"/>
          <w:i/>
          <w:smallCaps w:val="0"/>
          <w:strike w:val="0"/>
          <w:u w:val="none"/>
        </w:rPr>
        <w:t>Inwood v. Ives</w:t>
      </w:r>
      <w:r>
        <w:rPr>
          <w:b w:val="0"/>
          <w:i w:val="0"/>
          <w:smallCaps w:val="0"/>
          <w:strike w:val="0"/>
          <w:u w:val="none"/>
        </w:rPr>
        <w:t xml:space="preserve"> (1982)</w:t>
      </w:r>
      <w:r>
        <w:rPr>
          <w:b w:val="0"/>
          <w:i w:val="0"/>
          <w:smallCaps w:val="0"/>
          <w:strike w:val="0"/>
          <w:u w:val="none"/>
        </w:rPr>
        <w:t>.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/>
          <w:smallCaps w:val="0"/>
          <w:strike w:val="0"/>
          <w:u w:val="none"/>
        </w:rPr>
        <w:t>Ives</w:t>
      </w:r>
      <w:r>
        <w:rPr>
          <w:b w:val="0"/>
          <w:i w:val="0"/>
          <w:smallCaps w:val="0"/>
          <w:strike w:val="0"/>
          <w:u w:val="none"/>
        </w:rPr>
        <w:t xml:space="preserve"> said</w:t>
      </w:r>
      <w:r>
        <w:rPr>
          <w:b w:val="0"/>
          <w:i w:val="0"/>
          <w:smallCaps w:val="0"/>
          <w:strike w:val="0"/>
          <w:u w:val="none"/>
        </w:rPr>
        <w:t xml:space="preserve"> that if </w:t>
      </w:r>
      <w:r>
        <w:rPr>
          <w:b w:val="0"/>
          <w:i w:val="0"/>
          <w:smallCaps w:val="0"/>
          <w:strike w:val="0"/>
          <w:u w:val="none"/>
        </w:rPr>
        <w:t xml:space="preserve">a (brick and mortar) marketplace had reason to </w:t>
      </w:r>
      <w:r>
        <w:rPr>
          <w:b w:val="0"/>
          <w:i w:val="0"/>
          <w:smallCaps w:val="0"/>
          <w:strike w:val="0"/>
          <w:u w:val="single"/>
        </w:rPr>
        <w:t>suspect</w:t>
      </w:r>
      <w:r>
        <w:rPr>
          <w:b w:val="0"/>
          <w:i w:val="0"/>
          <w:smallCaps w:val="0"/>
          <w:strike w:val="0"/>
          <w:u w:val="none"/>
        </w:rPr>
        <w:t xml:space="preserve"> counterfeiting was occurring, </w:t>
      </w:r>
      <w:r>
        <w:rPr>
          <w:b w:val="0"/>
          <w:i w:val="0"/>
          <w:smallCaps w:val="0"/>
          <w:strike w:val="0"/>
          <w:u w:val="none"/>
        </w:rPr>
        <w:t xml:space="preserve">whether through multiple notices, </w:t>
      </w:r>
      <w:r>
        <w:rPr>
          <w:b w:val="0"/>
          <w:i w:val="0"/>
          <w:smallCaps w:val="0"/>
          <w:strike w:val="0"/>
          <w:u w:val="none"/>
        </w:rPr>
        <w:t xml:space="preserve">widespread reports, </w:t>
      </w:r>
      <w:r>
        <w:rPr>
          <w:b w:val="0"/>
          <w:i w:val="0"/>
          <w:smallCaps w:val="0"/>
          <w:strike w:val="0"/>
          <w:u w:val="none"/>
        </w:rPr>
        <w:t xml:space="preserve">or </w:t>
      </w:r>
      <w:r>
        <w:rPr>
          <w:b w:val="0"/>
          <w:i w:val="0"/>
          <w:smallCaps w:val="0"/>
          <w:strike w:val="0"/>
          <w:u w:val="none"/>
        </w:rPr>
        <w:t>third-party assessments,</w:t>
      </w:r>
      <w:r>
        <w:rPr>
          <w:b w:val="0"/>
          <w:i w:val="0"/>
          <w:smallCaps w:val="0"/>
          <w:strike w:val="0"/>
          <w:u w:val="none"/>
        </w:rPr>
        <w:t xml:space="preserve"> and the </w:t>
      </w:r>
      <w:r>
        <w:rPr>
          <w:b w:val="0"/>
          <w:i w:val="0"/>
          <w:smallCaps w:val="0"/>
          <w:strike w:val="0"/>
          <w:u w:val="single"/>
        </w:rPr>
        <w:t>marketplace did not take reasonable precautions</w:t>
      </w:r>
      <w:r>
        <w:rPr>
          <w:b w:val="0"/>
          <w:i w:val="0"/>
          <w:smallCaps w:val="0"/>
          <w:strike w:val="0"/>
          <w:u w:val="none"/>
        </w:rPr>
        <w:t>,</w:t>
      </w:r>
      <w:r>
        <w:rPr>
          <w:b w:val="0"/>
          <w:i w:val="0"/>
          <w:smallCaps w:val="0"/>
          <w:strike w:val="0"/>
          <w:u w:val="none"/>
        </w:rPr>
        <w:t xml:space="preserve"> then that marketplace is contributorily liable even if did not know about a </w:t>
      </w:r>
      <w:r>
        <w:rPr>
          <w:b w:val="0"/>
          <w:i w:val="0"/>
          <w:smallCaps w:val="0"/>
          <w:strike w:val="0"/>
          <w:u w:val="single"/>
        </w:rPr>
        <w:t>specific</w:t>
      </w:r>
      <w:r>
        <w:rPr>
          <w:b w:val="0"/>
          <w:i w:val="0"/>
          <w:smallCaps w:val="0"/>
          <w:strike w:val="0"/>
          <w:u w:val="none"/>
        </w:rPr>
        <w:t xml:space="preserve"> instance of counterfeiting. </w:t>
      </w:r>
      <w:r>
        <w:rPr>
          <w:b w:val="0"/>
          <w:i w:val="0"/>
          <w:smallCaps w:val="0"/>
          <w:strike w:val="0"/>
          <w:u w:val="none"/>
        </w:rPr>
        <w:t xml:space="preserve">Essentially, constructive knowledge is a standard that says you “should have known” illegal activity was taking place, and the reason you didn’t know was that you were </w:t>
      </w:r>
      <w:r>
        <w:rPr>
          <w:b w:val="0"/>
          <w:i w:val="0"/>
          <w:smallCaps w:val="0"/>
          <w:strike w:val="0"/>
          <w:u w:val="single"/>
        </w:rPr>
        <w:t>negligent</w:t>
      </w:r>
      <w:r>
        <w:rPr>
          <w:b w:val="0"/>
          <w:i w:val="0"/>
          <w:smallCaps w:val="0"/>
          <w:strike w:val="0"/>
          <w:u w:val="none"/>
        </w:rPr>
        <w:t>.</w:t>
      </w:r>
    </w:p>
    <w:p>
      <w:pPr>
        <w:spacing w:after="60"/>
      </w:pPr>
      <w:r>
        <w:rPr>
          <w:b/>
          <w:i w:val="0"/>
          <w:smallCaps w:val="0"/>
          <w:strike w:val="0"/>
          <w:u w:val="none"/>
        </w:rPr>
        <w:t>Willful blindness</w:t>
      </w:r>
      <w:r>
        <w:rPr>
          <w:b w:val="0"/>
          <w:i w:val="0"/>
          <w:smallCaps w:val="0"/>
          <w:strike w:val="0"/>
          <w:u w:val="none"/>
        </w:rPr>
        <w:t xml:space="preserve"> – this is a judicial doctrine that says </w:t>
      </w:r>
      <w:r>
        <w:rPr>
          <w:b w:val="0"/>
          <w:i w:val="0"/>
          <w:smallCaps w:val="0"/>
          <w:strike w:val="0"/>
          <w:u w:val="none"/>
        </w:rPr>
        <w:t xml:space="preserve">if a marketplace lacked specific knowledge </w:t>
      </w:r>
      <w:r>
        <w:rPr>
          <w:b w:val="0"/>
          <w:i w:val="0"/>
          <w:smallCaps w:val="0"/>
          <w:strike w:val="0"/>
          <w:u w:val="none"/>
        </w:rPr>
        <w:t xml:space="preserve">solely </w:t>
      </w:r>
      <w:r>
        <w:rPr>
          <w:b w:val="0"/>
          <w:i w:val="0"/>
          <w:smallCaps w:val="0"/>
          <w:strike w:val="0"/>
          <w:u w:val="none"/>
        </w:rPr>
        <w:t xml:space="preserve">because they </w:t>
      </w:r>
      <w:r>
        <w:rPr>
          <w:b w:val="0"/>
          <w:i w:val="0"/>
          <w:smallCaps w:val="0"/>
          <w:strike w:val="0"/>
          <w:u w:val="single"/>
        </w:rPr>
        <w:t>refused</w:t>
      </w:r>
      <w:r>
        <w:rPr>
          <w:b w:val="0"/>
          <w:i w:val="0"/>
          <w:smallCaps w:val="0"/>
          <w:strike w:val="0"/>
          <w:u w:val="none"/>
        </w:rPr>
        <w:t xml:space="preserve"> to monitor or investigate, then they are liable.</w:t>
      </w:r>
      <w:r>
        <w:rPr>
          <w:b w:val="0"/>
          <w:i w:val="0"/>
          <w:smallCaps w:val="0"/>
          <w:strike w:val="0"/>
          <w:u w:val="none"/>
        </w:rPr>
        <w:t xml:space="preserve"> </w:t>
      </w:r>
    </w:p>
    <w:p>
      <w:pPr>
        <w:spacing w:after="60"/>
      </w:pPr>
      <w:r>
        <w:rPr>
          <w:b/>
          <w:i w:val="0"/>
          <w:smallCaps w:val="0"/>
          <w:strike w:val="0"/>
          <w:u w:val="none"/>
        </w:rPr>
        <w:t>Safe harbor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–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 xml:space="preserve">this means that if an online platform takes proactive enforcement measures, then they are no longer subject to liability. </w:t>
      </w:r>
      <w:r>
        <w:rPr>
          <w:b w:val="0"/>
          <w:i w:val="0"/>
          <w:smallCaps w:val="0"/>
          <w:strike w:val="0"/>
          <w:u w:val="none"/>
        </w:rPr>
        <w:t>The Bernstein evidence indirectly references this in the line: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“marketplace owners may discharge their duty by taking anti-counterfeiting measures.” Most safe harbor provisions require specific steps</w:t>
      </w:r>
      <w:r>
        <w:rPr>
          <w:b w:val="0"/>
          <w:i w:val="0"/>
          <w:smallCaps w:val="0"/>
          <w:strike w:val="0"/>
          <w:u w:val="none"/>
        </w:rPr>
        <w:t xml:space="preserve"> determined by legislation (the Digital Millenium Copyright Act has a copyright safe harbor provision for online platforms based on notice and takedown, for example).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 xml:space="preserve"> T</w:t>
      </w:r>
      <w:r>
        <w:rPr>
          <w:b w:val="0"/>
          <w:i w:val="0"/>
          <w:smallCaps w:val="0"/>
          <w:strike w:val="0"/>
          <w:u w:val="none"/>
        </w:rPr>
        <w:t xml:space="preserve">he 1ac evidence here says that courts will determine </w:t>
      </w:r>
      <w:r>
        <w:rPr>
          <w:b w:val="0"/>
          <w:i w:val="0"/>
          <w:smallCaps w:val="0"/>
          <w:strike w:val="0"/>
          <w:u w:val="none"/>
        </w:rPr>
        <w:t xml:space="preserve">that “reasonable </w:t>
      </w:r>
      <w:r>
        <w:rPr>
          <w:b w:val="0"/>
          <w:i w:val="0"/>
          <w:smallCaps w:val="0"/>
          <w:strike w:val="0"/>
          <w:u w:val="none"/>
        </w:rPr>
        <w:t xml:space="preserve">precautions” might be sufficient to discharge liability. Both Dong and Bernstein assert </w:t>
      </w:r>
      <w:r>
        <w:rPr>
          <w:b w:val="0"/>
          <w:i w:val="0"/>
          <w:smallCaps w:val="0"/>
          <w:strike w:val="0"/>
          <w:u w:val="none"/>
        </w:rPr>
        <w:t>‘</w:t>
      </w:r>
      <w:r>
        <w:rPr>
          <w:b w:val="0"/>
          <w:i w:val="0"/>
          <w:smallCaps w:val="0"/>
          <w:strike w:val="0"/>
          <w:u w:val="none"/>
        </w:rPr>
        <w:t>reasonable precautions</w:t>
      </w:r>
      <w:r>
        <w:rPr>
          <w:b w:val="0"/>
          <w:i w:val="0"/>
          <w:smallCaps w:val="0"/>
          <w:strike w:val="0"/>
          <w:u w:val="none"/>
        </w:rPr>
        <w:t>’</w:t>
      </w:r>
      <w:r>
        <w:rPr>
          <w:b w:val="0"/>
          <w:i w:val="0"/>
          <w:smallCaps w:val="0"/>
          <w:strike w:val="0"/>
          <w:u w:val="none"/>
        </w:rPr>
        <w:t xml:space="preserve"> could be satisfied by stronger monitoring</w:t>
      </w:r>
      <w:r>
        <w:rPr>
          <w:b w:val="0"/>
          <w:i w:val="0"/>
          <w:smallCaps w:val="0"/>
          <w:strike w:val="0"/>
          <w:u w:val="none"/>
        </w:rPr>
        <w:t xml:space="preserve"> and banning repeat infringers</w:t>
      </w:r>
      <w:r>
        <w:rPr>
          <w:b w:val="0"/>
          <w:i w:val="0"/>
          <w:smallCaps w:val="0"/>
          <w:strike w:val="0"/>
          <w:u w:val="none"/>
        </w:rPr>
        <w:t>, but what is ‘reasonable’ is fact-specific and depends upon the context of a particular online platform.</w:t>
      </w:r>
    </w:p>
    <w:p>
      <w:pPr>
        <w:pStyle w:val="Caption"/>
      </w:pPr>
      <w:r>
        <w:t>Source: E Commerce Aff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