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plan applies the ‘constructive knowledge</w:t>
      </w:r>
      <w:r>
        <w:rPr>
          <w:b/>
          <w:i w:val="0"/>
          <w:smallCaps w:val="0"/>
          <w:strike w:val="0"/>
          <w:sz w:val="26"/>
          <w:u w:val="none"/>
        </w:rPr>
        <w:t xml:space="preserve"> of trademark infringement</w:t>
      </w:r>
      <w:r>
        <w:rPr>
          <w:b/>
          <w:i w:val="0"/>
          <w:smallCaps w:val="0"/>
          <w:strike w:val="0"/>
          <w:sz w:val="26"/>
          <w:u w:val="none"/>
        </w:rPr>
        <w:t>’ standard from Luxottica v. AMM</w:t>
      </w:r>
      <w:r>
        <w:rPr>
          <w:b/>
          <w:i w:val="0"/>
          <w:smallCaps w:val="0"/>
          <w:strike w:val="0"/>
          <w:sz w:val="26"/>
          <w:u w:val="none"/>
        </w:rPr>
        <w:t xml:space="preserve"> to online intermediaries. This </w:t>
      </w:r>
      <w:r>
        <w:rPr>
          <w:b/>
          <w:i w:val="0"/>
          <w:smallCaps w:val="0"/>
          <w:strike w:val="0"/>
          <w:sz w:val="26"/>
          <w:u w:val="single"/>
        </w:rPr>
        <w:t>isn’t burdensome</w:t>
      </w:r>
      <w:r>
        <w:rPr>
          <w:b/>
          <w:i w:val="0"/>
          <w:smallCaps w:val="0"/>
          <w:strike w:val="0"/>
          <w:sz w:val="26"/>
          <w:u w:val="none"/>
        </w:rPr>
        <w:t xml:space="preserve"> and </w:t>
      </w:r>
      <w:r>
        <w:rPr>
          <w:b/>
          <w:i w:val="0"/>
          <w:smallCaps w:val="0"/>
          <w:strike w:val="0"/>
          <w:sz w:val="26"/>
          <w:u w:val="single"/>
        </w:rPr>
        <w:t>already</w:t>
      </w:r>
      <w:r>
        <w:rPr>
          <w:b/>
          <w:i w:val="0"/>
          <w:smallCaps w:val="0"/>
          <w:strike w:val="0"/>
          <w:sz w:val="26"/>
          <w:u w:val="single"/>
        </w:rPr>
        <w:t xml:space="preserve"> exists</w:t>
      </w:r>
      <w:r>
        <w:rPr>
          <w:b/>
          <w:i w:val="0"/>
          <w:smallCaps w:val="0"/>
          <w:strike w:val="0"/>
          <w:sz w:val="26"/>
          <w:u w:val="none"/>
        </w:rPr>
        <w:t xml:space="preserve"> for </w:t>
      </w:r>
      <w:r>
        <w:rPr>
          <w:b/>
          <w:i w:val="0"/>
          <w:smallCaps w:val="0"/>
          <w:strike w:val="0"/>
          <w:sz w:val="26"/>
          <w:u w:val="single"/>
        </w:rPr>
        <w:t>brick and mortar</w:t>
      </w:r>
      <w:r>
        <w:rPr>
          <w:b/>
          <w:i w:val="0"/>
          <w:smallCaps w:val="0"/>
          <w:strike w:val="0"/>
          <w:sz w:val="26"/>
          <w:u w:val="none"/>
        </w:rPr>
        <w:t xml:space="preserve"> stores</w:t>
      </w:r>
      <w:r>
        <w:rPr>
          <w:b/>
          <w:i w:val="0"/>
          <w:smallCaps w:val="0"/>
          <w:strike w:val="0"/>
          <w:sz w:val="26"/>
          <w:u w:val="none"/>
        </w:rPr>
        <w:t xml:space="preserve"> </w:t>
      </w:r>
    </w:p>
    <w:p>
      <w:pPr>
        <w:spacing w:after="80"/>
      </w:pPr>
      <w:r>
        <w:rPr>
          <w:b w:val="0"/>
          <w:i w:val="0"/>
          <w:smallCaps w:val="0"/>
          <w:strike w:val="0"/>
          <w:u w:val="none"/>
        </w:rPr>
        <w:t>Haodi</w:t>
      </w:r>
      <w:r>
        <w:rPr>
          <w:b w:val="0"/>
          <w:i w:val="0"/>
          <w:smallCaps w:val="0"/>
          <w:strike w:val="0"/>
          <w:u w:val="none"/>
        </w:rPr>
        <w:t xml:space="preserve"> </w:t>
      </w:r>
      <w:r>
        <w:rPr>
          <w:b/>
          <w:i w:val="0"/>
          <w:smallCaps w:val="0"/>
          <w:strike w:val="0"/>
          <w:sz w:val="26"/>
          <w:u w:val="none"/>
        </w:rPr>
        <w:t>Dong</w:t>
      </w:r>
      <w:r>
        <w:rPr>
          <w:b w:val="0"/>
          <w:i w:val="0"/>
          <w:smallCaps w:val="0"/>
          <w:strike w:val="0"/>
          <w:u w:val="none"/>
        </w:rPr>
        <w:t>, 20</w:t>
      </w:r>
      <w:r>
        <w:rPr>
          <w:b/>
          <w:i w:val="0"/>
          <w:smallCaps w:val="0"/>
          <w:strike w:val="0"/>
          <w:sz w:val="26"/>
          <w:u w:val="none"/>
        </w:rPr>
        <w:t>22</w:t>
      </w:r>
      <w:r>
        <w:rPr>
          <w:b w:val="0"/>
          <w:i w:val="0"/>
          <w:smallCaps w:val="0"/>
          <w:strike w:val="0"/>
          <w:u w:val="none"/>
        </w:rPr>
        <w:t xml:space="preserve"> - J.D., 2022, Wake Forest University School of Law. “BALANCING THE INTERESTS OF TRADEMARK OWNERS AND E-COMMERCE PLATFORMS DURING THE INTERNET AGE” Wake Forest Journal of Business &amp; Intellectual Property Law, Spring, </w:t>
      </w:r>
      <w:r>
        <w:rPr>
          <w:b w:val="0"/>
          <w:i w:val="0"/>
          <w:smallCaps w:val="0"/>
          <w:strike w:val="0"/>
          <w:u w:val="none"/>
        </w:rPr>
        <w:t xml:space="preserve"> //DH</w:t>
      </w:r>
    </w:p>
    <w:p>
      <w:pPr>
        <w:spacing w:after="60"/>
      </w:pPr>
      <w:r>
        <w:rPr>
          <w:b w:val="0"/>
          <w:i w:val="0"/>
          <w:smallCaps w:val="0"/>
          <w:strike w:val="0"/>
          <w:u w:val="none"/>
        </w:rPr>
        <w:t xml:space="preserve">Alternatively, </w:t>
      </w:r>
      <w:r>
        <w:rPr>
          <w:b w:val="0"/>
          <w:i w:val="0"/>
          <w:smallCaps w:val="0"/>
          <w:strike w:val="0"/>
          <w:sz w:val="22"/>
          <w:highlight w:val="cyan"/>
          <w:u w:val="single"/>
        </w:rPr>
        <w:t>the</w:t>
      </w:r>
      <w:r>
        <w:rPr>
          <w:b w:val="0"/>
          <w:i w:val="0"/>
          <w:smallCaps w:val="0"/>
          <w:strike w:val="0"/>
          <w:sz w:val="22"/>
          <w:u w:val="single"/>
        </w:rPr>
        <w:t xml:space="preserve"> Supreme </w:t>
      </w:r>
      <w:r>
        <w:rPr>
          <w:b w:val="0"/>
          <w:i w:val="0"/>
          <w:smallCaps w:val="0"/>
          <w:strike w:val="0"/>
          <w:sz w:val="22"/>
          <w:highlight w:val="cyan"/>
          <w:u w:val="single"/>
        </w:rPr>
        <w:t xml:space="preserve">Court could </w:t>
      </w:r>
      <w:r>
        <w:rPr>
          <w:b w:val="0"/>
          <w:i w:val="0"/>
          <w:smallCaps w:val="0"/>
          <w:strike w:val="0"/>
          <w:sz w:val="22"/>
          <w:u w:val="single"/>
        </w:rPr>
        <w:t>adopt a broader but also clearer interpretation of the “reason to know” standard found in Inwood</w:t>
      </w:r>
      <w:r>
        <w:rPr>
          <w:b w:val="0"/>
          <w:i w:val="0"/>
          <w:smallCaps w:val="0"/>
          <w:strike w:val="0"/>
          <w:u w:val="none"/>
        </w:rPr>
        <w:t xml:space="preserve">. </w:t>
      </w:r>
      <w:r>
        <w:rPr>
          <w:b w:val="0"/>
          <w:i w:val="0"/>
          <w:smallCaps w:val="0"/>
          <w:strike w:val="0"/>
          <w:sz w:val="22"/>
          <w:u w:val="single"/>
        </w:rPr>
        <w:t xml:space="preserve">The Court could </w:t>
      </w:r>
      <w:r>
        <w:rPr>
          <w:b w:val="0"/>
          <w:i w:val="0"/>
          <w:smallCaps w:val="0"/>
          <w:strike w:val="0"/>
          <w:sz w:val="22"/>
          <w:highlight w:val="cyan"/>
          <w:u w:val="single"/>
        </w:rPr>
        <w:t xml:space="preserve">hold that without </w:t>
      </w:r>
      <w:r>
        <w:rPr>
          <w:b/>
          <w:i w:val="0"/>
          <w:smallCaps w:val="0"/>
          <w:strike w:val="0"/>
          <w:sz w:val="22"/>
          <w:highlight w:val="cyan"/>
          <w:u w:val="single"/>
        </w:rPr>
        <w:t>specific</w:t>
      </w:r>
      <w:r>
        <w:rPr>
          <w:b w:val="0"/>
          <w:i w:val="0"/>
          <w:smallCaps w:val="0"/>
          <w:strike w:val="0"/>
          <w:sz w:val="22"/>
          <w:highlight w:val="cyan"/>
          <w:u w:val="single"/>
        </w:rPr>
        <w:t xml:space="preserve"> notices </w:t>
      </w:r>
      <w:r>
        <w:rPr>
          <w:b w:val="0"/>
          <w:i w:val="0"/>
          <w:smallCaps w:val="0"/>
          <w:strike w:val="0"/>
          <w:sz w:val="22"/>
          <w:highlight w:val="cyan"/>
          <w:u w:val="single"/>
        </w:rPr>
        <w:t>of infringing posts</w:t>
      </w:r>
      <w:r>
        <w:rPr>
          <w:b w:val="0"/>
          <w:i w:val="0"/>
          <w:smallCaps w:val="0"/>
          <w:strike w:val="0"/>
          <w:sz w:val="22"/>
          <w:u w:val="single"/>
        </w:rPr>
        <w:t xml:space="preserve">, </w:t>
      </w:r>
      <w:r>
        <w:rPr>
          <w:b w:val="0"/>
          <w:i w:val="0"/>
          <w:smallCaps w:val="0"/>
          <w:strike w:val="0"/>
          <w:sz w:val="22"/>
          <w:highlight w:val="cyan"/>
          <w:u w:val="single"/>
        </w:rPr>
        <w:t xml:space="preserve">e-commerce platforms </w:t>
      </w:r>
      <w:r>
        <w:rPr>
          <w:b w:val="0"/>
          <w:i w:val="0"/>
          <w:smallCaps w:val="0"/>
          <w:strike w:val="0"/>
          <w:sz w:val="22"/>
          <w:u w:val="single"/>
        </w:rPr>
        <w:t xml:space="preserve">could </w:t>
      </w:r>
      <w:r>
        <w:rPr>
          <w:b w:val="0"/>
          <w:i w:val="0"/>
          <w:smallCaps w:val="0"/>
          <w:strike w:val="0"/>
          <w:sz w:val="22"/>
          <w:highlight w:val="cyan"/>
          <w:u w:val="single"/>
        </w:rPr>
        <w:t xml:space="preserve">satisfy the “reason to know” standard if they are aware </w:t>
      </w:r>
      <w:r>
        <w:rPr>
          <w:b w:val="0"/>
          <w:i w:val="0"/>
          <w:smallCaps w:val="0"/>
          <w:strike w:val="0"/>
          <w:sz w:val="22"/>
          <w:u w:val="single"/>
        </w:rPr>
        <w:t xml:space="preserve">that a significant amount </w:t>
      </w:r>
      <w:r>
        <w:rPr>
          <w:b w:val="0"/>
          <w:i w:val="0"/>
          <w:smallCaps w:val="0"/>
          <w:strike w:val="0"/>
          <w:sz w:val="22"/>
          <w:u w:val="single"/>
        </w:rPr>
        <w:t xml:space="preserve">of </w:t>
      </w:r>
      <w:r>
        <w:rPr>
          <w:b w:val="0"/>
          <w:i w:val="0"/>
          <w:smallCaps w:val="0"/>
          <w:strike w:val="0"/>
          <w:sz w:val="22"/>
          <w:highlight w:val="cyan"/>
          <w:u w:val="single"/>
        </w:rPr>
        <w:t xml:space="preserve">infringing activity </w:t>
      </w:r>
      <w:r>
        <w:rPr>
          <w:b w:val="0"/>
          <w:i w:val="0"/>
          <w:smallCaps w:val="0"/>
          <w:strike w:val="0"/>
          <w:sz w:val="22"/>
          <w:highlight w:val="cyan"/>
          <w:u w:val="single"/>
        </w:rPr>
        <w:t>is</w:t>
      </w:r>
      <w:r>
        <w:rPr>
          <w:b w:val="0"/>
          <w:i w:val="0"/>
          <w:smallCaps w:val="0"/>
          <w:strike w:val="0"/>
          <w:sz w:val="22"/>
          <w:u w:val="single"/>
        </w:rPr>
        <w:t xml:space="preserve"> happening </w:t>
      </w:r>
      <w:r>
        <w:rPr>
          <w:b w:val="0"/>
          <w:i w:val="0"/>
          <w:smallCaps w:val="0"/>
          <w:strike w:val="0"/>
          <w:sz w:val="22"/>
          <w:highlight w:val="cyan"/>
          <w:u w:val="single"/>
        </w:rPr>
        <w:t>on their website</w:t>
      </w:r>
      <w:r>
        <w:rPr>
          <w:b w:val="0"/>
          <w:i w:val="0"/>
          <w:smallCaps w:val="0"/>
          <w:strike w:val="0"/>
          <w:sz w:val="22"/>
          <w:highlight w:val="cyan"/>
          <w:u w:val="single"/>
        </w:rPr>
        <w:t>s</w:t>
      </w:r>
      <w:r>
        <w:rPr>
          <w:b w:val="0"/>
          <w:i w:val="0"/>
          <w:smallCaps w:val="0"/>
          <w:strike w:val="0"/>
          <w:u w:val="none"/>
        </w:rPr>
        <w:t xml:space="preserve">. However, </w:t>
      </w:r>
      <w:r>
        <w:rPr>
          <w:b w:val="0"/>
          <w:i w:val="0"/>
          <w:smallCaps w:val="0"/>
          <w:strike w:val="0"/>
          <w:sz w:val="22"/>
          <w:highlight w:val="cyan"/>
          <w:u w:val="single"/>
        </w:rPr>
        <w:t>the</w:t>
      </w:r>
      <w:r>
        <w:rPr>
          <w:b w:val="0"/>
          <w:i w:val="0"/>
          <w:smallCaps w:val="0"/>
          <w:strike w:val="0"/>
          <w:sz w:val="22"/>
          <w:u w:val="single"/>
        </w:rPr>
        <w:t xml:space="preserve"> Supreme </w:t>
      </w:r>
      <w:r>
        <w:rPr>
          <w:b w:val="0"/>
          <w:i w:val="0"/>
          <w:smallCaps w:val="0"/>
          <w:strike w:val="0"/>
          <w:sz w:val="22"/>
          <w:highlight w:val="cyan"/>
          <w:u w:val="single"/>
        </w:rPr>
        <w:t>Court should only hold platforms contributorily liable if they fail to at least do an investigatio</w:t>
      </w:r>
      <w:r>
        <w:rPr>
          <w:b w:val="0"/>
          <w:i w:val="0"/>
          <w:smallCaps w:val="0"/>
          <w:strike w:val="0"/>
          <w:highlight w:val="cyan"/>
          <w:u w:val="none"/>
        </w:rPr>
        <w:t>n</w:t>
      </w:r>
      <w:r>
        <w:rPr>
          <w:b w:val="0"/>
          <w:i w:val="0"/>
          <w:smallCaps w:val="0"/>
          <w:strike w:val="0"/>
          <w:u w:val="none"/>
        </w:rPr>
        <w:t xml:space="preserve">.165 </w:t>
      </w:r>
      <w:r>
        <w:rPr>
          <w:b w:val="0"/>
          <w:i w:val="0"/>
          <w:smallCaps w:val="0"/>
          <w:strike w:val="0"/>
          <w:sz w:val="22"/>
          <w:highlight w:val="cyan"/>
          <w:u w:val="single"/>
        </w:rPr>
        <w:t>Thi</w:t>
      </w:r>
      <w:r>
        <w:rPr>
          <w:b w:val="0"/>
          <w:i w:val="0"/>
          <w:smallCaps w:val="0"/>
          <w:strike w:val="0"/>
          <w:sz w:val="22"/>
          <w:highlight w:val="cyan"/>
          <w:u w:val="single"/>
        </w:rPr>
        <w:t>s</w:t>
      </w:r>
      <w:r>
        <w:rPr>
          <w:b w:val="0"/>
          <w:i w:val="0"/>
          <w:smallCaps w:val="0"/>
          <w:strike w:val="0"/>
          <w:u w:val="none"/>
        </w:rPr>
        <w:t xml:space="preserve"> approach </w:t>
      </w:r>
      <w:r>
        <w:rPr>
          <w:b w:val="0"/>
          <w:i w:val="0"/>
          <w:smallCaps w:val="0"/>
          <w:strike w:val="0"/>
          <w:sz w:val="22"/>
          <w:highlight w:val="cyan"/>
          <w:u w:val="single"/>
        </w:rPr>
        <w:t xml:space="preserve">is </w:t>
      </w:r>
      <w:r>
        <w:rPr>
          <w:b w:val="0"/>
          <w:i w:val="0"/>
          <w:smallCaps w:val="0"/>
          <w:strike w:val="0"/>
          <w:sz w:val="22"/>
          <w:highlight w:val="cyan"/>
          <w:u w:val="single"/>
        </w:rPr>
        <w:t>similar to</w:t>
      </w:r>
      <w:r>
        <w:rPr>
          <w:b w:val="0"/>
          <w:i w:val="0"/>
          <w:smallCaps w:val="0"/>
          <w:strike w:val="0"/>
          <w:sz w:val="22"/>
          <w:highlight w:val="cyan"/>
          <w:u w:val="single"/>
        </w:rPr>
        <w:t xml:space="preserve"> </w:t>
      </w:r>
      <w:r>
        <w:rPr>
          <w:b w:val="0"/>
          <w:i w:val="0"/>
          <w:smallCaps w:val="0"/>
          <w:strike w:val="0"/>
          <w:sz w:val="22"/>
          <w:highlight w:val="cyan"/>
          <w:u w:val="single"/>
        </w:rPr>
        <w:t>the</w:t>
      </w:r>
      <w:r>
        <w:rPr>
          <w:b w:val="0"/>
          <w:i w:val="0"/>
          <w:smallCaps w:val="0"/>
          <w:strike w:val="0"/>
          <w:sz w:val="22"/>
          <w:u w:val="single"/>
        </w:rPr>
        <w:t xml:space="preserve"> Eleventh Circuit’s </w:t>
      </w:r>
      <w:r>
        <w:rPr>
          <w:b w:val="0"/>
          <w:i w:val="0"/>
          <w:smallCaps w:val="0"/>
          <w:strike w:val="0"/>
          <w:sz w:val="22"/>
          <w:highlight w:val="cyan"/>
          <w:u w:val="single"/>
        </w:rPr>
        <w:t>holding in</w:t>
      </w:r>
      <w:r>
        <w:rPr>
          <w:b w:val="0"/>
          <w:i w:val="0"/>
          <w:smallCaps w:val="0"/>
          <w:strike w:val="0"/>
          <w:sz w:val="22"/>
          <w:u w:val="single"/>
        </w:rPr>
        <w:t xml:space="preserve"> </w:t>
      </w:r>
      <w:r>
        <w:rPr>
          <w:b w:val="0"/>
          <w:i w:val="0"/>
          <w:smallCaps w:val="0"/>
          <w:strike w:val="0"/>
          <w:sz w:val="22"/>
          <w:highlight w:val="cyan"/>
          <w:u w:val="single"/>
        </w:rPr>
        <w:t>Luxottica</w:t>
      </w:r>
      <w:r>
        <w:rPr>
          <w:b w:val="0"/>
          <w:i w:val="0"/>
          <w:smallCaps w:val="0"/>
          <w:strike w:val="0"/>
          <w:u w:val="none"/>
        </w:rPr>
        <w:t>.166</w:t>
      </w:r>
    </w:p>
    <w:p>
      <w:pPr>
        <w:spacing w:after="60"/>
      </w:pPr>
      <w:r>
        <w:rPr>
          <w:b/>
          <w:i w:val="0"/>
          <w:smallCaps w:val="0"/>
          <w:strike w:val="0"/>
          <w:u w:val="none"/>
        </w:rPr>
        <w:t>(jump to footnote 165)</w:t>
      </w:r>
    </w:p>
    <w:p>
      <w:pPr>
        <w:spacing w:after="60"/>
      </w:pPr>
      <w:r>
        <w:rPr>
          <w:b w:val="0"/>
          <w:i w:val="0"/>
          <w:smallCaps w:val="0"/>
          <w:strike w:val="0"/>
          <w:u w:val="none"/>
        </w:rPr>
        <w:t xml:space="preserve">165 </w:t>
      </w:r>
      <w:r>
        <w:rPr>
          <w:b w:val="0"/>
          <w:i w:val="0"/>
          <w:smallCaps w:val="0"/>
          <w:strike w:val="0"/>
          <w:sz w:val="22"/>
          <w:highlight w:val="cyan"/>
          <w:u w:val="single"/>
        </w:rPr>
        <w:t>What constitutes an investigation depends on</w:t>
      </w:r>
      <w:r>
        <w:rPr>
          <w:b w:val="0"/>
          <w:i w:val="0"/>
          <w:smallCaps w:val="0"/>
          <w:strike w:val="0"/>
          <w:u w:val="none"/>
        </w:rPr>
        <w:t xml:space="preserve"> various factors such as </w:t>
      </w:r>
      <w:r>
        <w:rPr>
          <w:b w:val="0"/>
          <w:i w:val="0"/>
          <w:smallCaps w:val="0"/>
          <w:strike w:val="0"/>
          <w:sz w:val="22"/>
          <w:highlight w:val="cyan"/>
          <w:u w:val="single"/>
        </w:rPr>
        <w:t xml:space="preserve">the scale of the platform or </w:t>
      </w:r>
      <w:r>
        <w:rPr>
          <w:b w:val="0"/>
          <w:i w:val="0"/>
          <w:smallCaps w:val="0"/>
          <w:strike w:val="0"/>
          <w:sz w:val="22"/>
          <w:u w:val="single"/>
        </w:rPr>
        <w:t xml:space="preserve">nature of </w:t>
      </w:r>
      <w:r>
        <w:rPr>
          <w:b w:val="0"/>
          <w:i w:val="0"/>
          <w:smallCaps w:val="0"/>
          <w:strike w:val="0"/>
          <w:sz w:val="22"/>
          <w:highlight w:val="cyan"/>
          <w:u w:val="single"/>
        </w:rPr>
        <w:t>the goods and services being sold</w:t>
      </w:r>
      <w:r>
        <w:rPr>
          <w:b w:val="0"/>
          <w:i w:val="0"/>
          <w:smallCaps w:val="0"/>
          <w:strike w:val="0"/>
          <w:u w:val="none"/>
        </w:rPr>
        <w:t xml:space="preserve">. For example, </w:t>
      </w:r>
      <w:r>
        <w:rPr>
          <w:b w:val="0"/>
          <w:i w:val="0"/>
          <w:smallCaps w:val="0"/>
          <w:strike w:val="0"/>
          <w:sz w:val="22"/>
          <w:highlight w:val="cyan"/>
          <w:u w:val="single"/>
        </w:rPr>
        <w:t xml:space="preserve">comparing prices </w:t>
      </w:r>
      <w:r>
        <w:rPr>
          <w:b w:val="0"/>
          <w:i w:val="0"/>
          <w:smallCaps w:val="0"/>
          <w:strike w:val="0"/>
          <w:sz w:val="22"/>
          <w:u w:val="single"/>
        </w:rPr>
        <w:t xml:space="preserve">and looking at </w:t>
      </w:r>
      <w:r>
        <w:rPr>
          <w:b w:val="0"/>
          <w:i w:val="0"/>
          <w:smallCaps w:val="0"/>
          <w:strike w:val="0"/>
          <w:sz w:val="22"/>
          <w:u w:val="single"/>
        </w:rPr>
        <w:t>sellers’</w:t>
      </w:r>
      <w:r>
        <w:rPr>
          <w:b w:val="0"/>
          <w:i w:val="0"/>
          <w:smallCaps w:val="0"/>
          <w:strike w:val="0"/>
          <w:sz w:val="22"/>
          <w:u w:val="single"/>
        </w:rPr>
        <w:t xml:space="preserve"> past listing </w:t>
      </w:r>
      <w:r>
        <w:rPr>
          <w:b w:val="0"/>
          <w:i w:val="0"/>
          <w:smallCaps w:val="0"/>
          <w:strike w:val="0"/>
          <w:sz w:val="22"/>
          <w:highlight w:val="cyan"/>
          <w:u w:val="single"/>
        </w:rPr>
        <w:t>or IP address could be an investigation</w:t>
      </w:r>
      <w:r>
        <w:rPr>
          <w:b w:val="0"/>
          <w:i w:val="0"/>
          <w:smallCaps w:val="0"/>
          <w:strike w:val="0"/>
          <w:highlight w:val="cyan"/>
          <w:u w:val="none"/>
        </w:rPr>
        <w:t>.</w:t>
      </w:r>
      <w:r>
        <w:rPr>
          <w:b w:val="0"/>
          <w:i w:val="0"/>
          <w:smallCaps w:val="0"/>
          <w:strike w:val="0"/>
          <w:u w:val="none"/>
        </w:rPr>
        <w:t xml:space="preserve"> </w:t>
      </w:r>
    </w:p>
    <w:p>
      <w:pPr>
        <w:spacing w:after="60"/>
      </w:pPr>
      <w:r>
        <w:rPr>
          <w:b/>
          <w:i w:val="0"/>
          <w:smallCaps w:val="0"/>
          <w:strike w:val="0"/>
          <w:u w:val="none"/>
        </w:rPr>
        <w:t>(return to article)</w:t>
      </w:r>
    </w:p>
    <w:p>
      <w:pPr>
        <w:spacing w:after="60"/>
      </w:pPr>
      <w:r>
        <w:rPr>
          <w:b w:val="0"/>
          <w:i w:val="0"/>
          <w:smallCaps w:val="0"/>
          <w:strike w:val="0"/>
          <w:sz w:val="22"/>
          <w:highlight w:val="cyan"/>
          <w:u w:val="single"/>
        </w:rPr>
        <w:t>In Luxottica</w:t>
      </w:r>
      <w:r>
        <w:rPr>
          <w:b w:val="0"/>
          <w:i w:val="0"/>
          <w:smallCaps w:val="0"/>
          <w:strike w:val="0"/>
          <w:u w:val="none"/>
        </w:rPr>
        <w:t>, Oakley and its parent company, Luxottica, sued Airport Mini Mall (“AMM”) in Georgia for contributory trademark infringement.167 Luxottica makes and sells high-end sunglasses using the Ray-Ban and Oakley trademarks.168 AMM owned and operated an indoor mall where it subleased venues to different third-party sellers.169 When police raided those sellers in three separate instances, they found certain vendors in the mall were selling counterfeit Luxottica sunglasses.170 Luxottica also sent two letters to AMM informing them that there were certain sellers in the mall selling counterfeit sunglasses.171 However, AMM did not inspect its sellers nor did it take action to stop its subtenants’ from selling counterfeit sunglasses.172 At the district court, the jury found that AMM was contributorily liable for its subtenants’ direct trademark infringement.173 The was a case of first impression for the Eleventh Circuit, and it affirmed.174</w:t>
      </w:r>
    </w:p>
    <w:p>
      <w:pPr>
        <w:spacing w:after="60"/>
      </w:pPr>
      <w:r>
        <w:rPr>
          <w:b w:val="0"/>
          <w:i w:val="0"/>
          <w:smallCaps w:val="0"/>
          <w:strike w:val="0"/>
          <w:sz w:val="22"/>
          <w:highlight w:val="cyan"/>
          <w:u w:val="single"/>
        </w:rPr>
        <w:t>The Eleventh Circuit held</w:t>
      </w:r>
      <w:r>
        <w:rPr>
          <w:b w:val="0"/>
          <w:i w:val="0"/>
          <w:smallCaps w:val="0"/>
          <w:strike w:val="0"/>
          <w:sz w:val="22"/>
          <w:u w:val="single"/>
        </w:rPr>
        <w:t xml:space="preserve"> that “</w:t>
      </w:r>
      <w:r>
        <w:rPr>
          <w:b/>
          <w:i w:val="0"/>
          <w:smallCaps w:val="0"/>
          <w:strike w:val="0"/>
          <w:sz w:val="22"/>
          <w:highlight w:val="cyan"/>
          <w:u w:val="single"/>
        </w:rPr>
        <w:t>actual or constructive knowledge</w:t>
      </w:r>
      <w:r>
        <w:rPr>
          <w:b/>
          <w:i w:val="0"/>
          <w:smallCaps w:val="0"/>
          <w:strike w:val="0"/>
          <w:sz w:val="22"/>
          <w:u w:val="single"/>
        </w:rPr>
        <w:t xml:space="preserve"> </w:t>
      </w:r>
      <w:r>
        <w:rPr>
          <w:b w:val="0"/>
          <w:i w:val="0"/>
          <w:smallCaps w:val="0"/>
          <w:strike w:val="0"/>
          <w:sz w:val="22"/>
          <w:u w:val="single"/>
        </w:rPr>
        <w:t xml:space="preserve">of the direct infringers’ identities could </w:t>
      </w:r>
      <w:r>
        <w:rPr>
          <w:b w:val="0"/>
          <w:i w:val="0"/>
          <w:smallCaps w:val="0"/>
          <w:strike w:val="0"/>
          <w:sz w:val="22"/>
          <w:highlight w:val="cyan"/>
          <w:u w:val="single"/>
        </w:rPr>
        <w:t>arise</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22"/>
          <w:u w:val="single"/>
        </w:rPr>
        <w:t xml:space="preserve"> many sources,” such as </w:t>
      </w:r>
      <w:r>
        <w:rPr>
          <w:b w:val="0"/>
          <w:i w:val="0"/>
          <w:smallCaps w:val="0"/>
          <w:strike w:val="0"/>
          <w:sz w:val="22"/>
          <w:highlight w:val="cyan"/>
          <w:u w:val="single"/>
        </w:rPr>
        <w:t xml:space="preserve">when the defendants </w:t>
      </w:r>
      <w:r>
        <w:rPr>
          <w:b/>
          <w:i w:val="0"/>
          <w:smallCaps w:val="0"/>
          <w:strike w:val="0"/>
          <w:sz w:val="22"/>
          <w:highlight w:val="cyan"/>
          <w:u w:val="single"/>
        </w:rPr>
        <w:t>could have investigated</w:t>
      </w:r>
      <w:r>
        <w:rPr>
          <w:b w:val="0"/>
          <w:i w:val="0"/>
          <w:smallCaps w:val="0"/>
          <w:strike w:val="0"/>
          <w:sz w:val="22"/>
          <w:highlight w:val="cyan"/>
          <w:u w:val="single"/>
        </w:rPr>
        <w:t xml:space="preserve"> alleged direct infringement </w:t>
      </w:r>
      <w:r>
        <w:rPr>
          <w:b/>
          <w:i w:val="0"/>
          <w:smallCaps w:val="0"/>
          <w:strike w:val="0"/>
          <w:sz w:val="22"/>
          <w:highlight w:val="cyan"/>
          <w:u w:val="single"/>
        </w:rPr>
        <w:t>after being put on notice</w:t>
      </w:r>
      <w:r>
        <w:rPr>
          <w:b w:val="0"/>
          <w:i w:val="0"/>
          <w:smallCaps w:val="0"/>
          <w:strike w:val="0"/>
          <w:u w:val="none"/>
        </w:rPr>
        <w:t xml:space="preserve"> </w:t>
      </w:r>
      <w:r>
        <w:rPr>
          <w:b w:val="0"/>
          <w:i w:val="0"/>
          <w:smallCaps w:val="0"/>
          <w:strike w:val="0"/>
          <w:sz w:val="22"/>
          <w:highlight w:val="cyan"/>
          <w:u w:val="single"/>
        </w:rPr>
        <w:t>by the Plaintiff</w:t>
      </w:r>
      <w:r>
        <w:rPr>
          <w:b w:val="0"/>
          <w:i w:val="0"/>
          <w:smallCaps w:val="0"/>
          <w:strike w:val="0"/>
          <w:u w:val="none"/>
        </w:rPr>
        <w:t xml:space="preserve"> that unnamed subtenants’ of AMM may have been selling counterfeits.175 The court reasoned that although Inwood did not create an “affirmative duty to take precautions against the sale of counterfeits,” </w:t>
      </w:r>
      <w:r>
        <w:rPr>
          <w:b w:val="0"/>
          <w:i w:val="0"/>
          <w:smallCaps w:val="0"/>
          <w:strike w:val="0"/>
          <w:sz w:val="22"/>
          <w:u w:val="single"/>
        </w:rPr>
        <w:t>a reasonable jury could find that Luxottica’s notice letters would prompt a landlord to inspect the Mall’s booths</w:t>
      </w:r>
      <w:r>
        <w:rPr>
          <w:b w:val="0"/>
          <w:i w:val="0"/>
          <w:smallCaps w:val="0"/>
          <w:strike w:val="0"/>
          <w:u w:val="none"/>
        </w:rPr>
        <w:t xml:space="preserve">.176 It further explained that the defendants had a responsibility to investigate because “a cursory visual inspection” of 130 booths was not so burdensome. 177 It also reiterated that, “evidence of ‘serious and widespread’ infringement makes it more likely that a defendant knew about the infringement.”178 Finally, </w:t>
      </w:r>
      <w:r>
        <w:rPr>
          <w:b w:val="0"/>
          <w:i w:val="0"/>
          <w:smallCaps w:val="0"/>
          <w:strike w:val="0"/>
          <w:sz w:val="22"/>
          <w:u w:val="single"/>
        </w:rPr>
        <w:t>the court held that AMM was contributorily liable because the evidence showed that the defendants had at least constructive knowledge because there existed serious and widespread violations</w:t>
      </w:r>
      <w:r>
        <w:rPr>
          <w:b w:val="0"/>
          <w:i w:val="0"/>
          <w:smallCaps w:val="0"/>
          <w:strike w:val="0"/>
          <w:u w:val="none"/>
        </w:rPr>
        <w:t xml:space="preserve"> that indi</w:t>
      </w:r>
      <w:r>
        <w:rPr>
          <w:b w:val="0"/>
          <w:i w:val="0"/>
          <w:smallCaps w:val="0"/>
          <w:strike w:val="0"/>
          <w:u w:val="none"/>
        </w:rPr>
        <w:t>cated their subtenants were selling counterfeit goods.179</w:t>
      </w:r>
    </w:p>
    <w:p>
      <w:pPr>
        <w:spacing w:after="60"/>
      </w:pPr>
      <w:r>
        <w:rPr>
          <w:b w:val="0"/>
          <w:i w:val="0"/>
          <w:smallCaps w:val="0"/>
          <w:strike w:val="0"/>
          <w:sz w:val="22"/>
          <w:highlight w:val="cyan"/>
          <w:u w:val="single"/>
        </w:rPr>
        <w:t xml:space="preserve">Although Luxottica did not involve </w:t>
      </w:r>
      <w:r>
        <w:rPr>
          <w:b w:val="0"/>
          <w:i w:val="0"/>
          <w:smallCaps w:val="0"/>
          <w:strike w:val="0"/>
          <w:sz w:val="22"/>
          <w:u w:val="single"/>
        </w:rPr>
        <w:t>the internet</w:t>
      </w:r>
      <w:r>
        <w:rPr>
          <w:b w:val="0"/>
          <w:i w:val="0"/>
          <w:smallCaps w:val="0"/>
          <w:strike w:val="0"/>
          <w:u w:val="none"/>
        </w:rPr>
        <w:t xml:space="preserve"> or </w:t>
      </w:r>
      <w:r>
        <w:rPr>
          <w:b w:val="0"/>
          <w:i w:val="0"/>
          <w:smallCaps w:val="0"/>
          <w:strike w:val="0"/>
          <w:sz w:val="22"/>
          <w:highlight w:val="cyan"/>
          <w:u w:val="single"/>
        </w:rPr>
        <w:t>online service providers</w:t>
      </w:r>
      <w:r>
        <w:rPr>
          <w:b w:val="0"/>
          <w:i w:val="0"/>
          <w:smallCaps w:val="0"/>
          <w:strike w:val="0"/>
          <w:u w:val="none"/>
        </w:rPr>
        <w:t xml:space="preserve">, </w:t>
      </w:r>
      <w:r>
        <w:rPr>
          <w:b w:val="0"/>
          <w:i w:val="0"/>
          <w:smallCaps w:val="0"/>
          <w:strike w:val="0"/>
          <w:sz w:val="22"/>
          <w:highlight w:val="cyan"/>
          <w:u w:val="single"/>
        </w:rPr>
        <w:t xml:space="preserve">it is easy to extend the </w:t>
      </w:r>
      <w:r>
        <w:rPr>
          <w:b w:val="0"/>
          <w:i w:val="0"/>
          <w:smallCaps w:val="0"/>
          <w:strike w:val="0"/>
          <w:sz w:val="22"/>
          <w:u w:val="single"/>
        </w:rPr>
        <w:t xml:space="preserve">Luxottica </w:t>
      </w:r>
      <w:r>
        <w:rPr>
          <w:b w:val="0"/>
          <w:i w:val="0"/>
          <w:smallCaps w:val="0"/>
          <w:strike w:val="0"/>
          <w:sz w:val="22"/>
          <w:highlight w:val="cyan"/>
          <w:u w:val="single"/>
        </w:rPr>
        <w:t xml:space="preserve">approach to </w:t>
      </w:r>
      <w:r>
        <w:rPr>
          <w:b/>
          <w:i w:val="0"/>
          <w:smallCaps w:val="0"/>
          <w:strike w:val="0"/>
          <w:sz w:val="22"/>
          <w:highlight w:val="cyan"/>
          <w:u w:val="single"/>
        </w:rPr>
        <w:t>e-commerce</w:t>
      </w:r>
      <w:r>
        <w:rPr>
          <w:b w:val="0"/>
          <w:i w:val="0"/>
          <w:smallCaps w:val="0"/>
          <w:strike w:val="0"/>
          <w:sz w:val="22"/>
          <w:highlight w:val="cyan"/>
          <w:u w:val="single"/>
        </w:rPr>
        <w:t xml:space="preserve"> </w:t>
      </w:r>
      <w:r>
        <w:rPr>
          <w:b w:val="0"/>
          <w:i w:val="0"/>
          <w:smallCaps w:val="0"/>
          <w:strike w:val="0"/>
          <w:sz w:val="22"/>
          <w:u w:val="single"/>
        </w:rPr>
        <w:t>platforms.</w:t>
      </w:r>
      <w:r>
        <w:rPr>
          <w:b w:val="0"/>
          <w:i w:val="0"/>
          <w:smallCaps w:val="0"/>
          <w:strike w:val="0"/>
          <w:sz w:val="22"/>
          <w:u w:val="single"/>
        </w:rPr>
        <w:t xml:space="preserve"> </w:t>
      </w:r>
      <w:r>
        <w:rPr>
          <w:b w:val="0"/>
          <w:i w:val="0"/>
          <w:smallCaps w:val="0"/>
          <w:strike w:val="0"/>
          <w:sz w:val="22"/>
          <w:highlight w:val="cyan"/>
          <w:u w:val="single"/>
        </w:rPr>
        <w:t xml:space="preserve">To provide </w:t>
      </w:r>
      <w:r>
        <w:rPr>
          <w:b w:val="0"/>
          <w:i w:val="0"/>
          <w:smallCaps w:val="0"/>
          <w:strike w:val="0"/>
          <w:sz w:val="22"/>
          <w:u w:val="single"/>
        </w:rPr>
        <w:t>trademark</w:t>
      </w:r>
      <w:r>
        <w:rPr>
          <w:b w:val="0"/>
          <w:i w:val="0"/>
          <w:smallCaps w:val="0"/>
          <w:strike w:val="0"/>
          <w:sz w:val="22"/>
          <w:highlight w:val="cyan"/>
          <w:u w:val="single"/>
        </w:rPr>
        <w:t xml:space="preserve"> owners and </w:t>
      </w:r>
      <w:r>
        <w:rPr>
          <w:b w:val="0"/>
          <w:i w:val="0"/>
          <w:smallCaps w:val="0"/>
          <w:strike w:val="0"/>
          <w:sz w:val="22"/>
          <w:u w:val="single"/>
        </w:rPr>
        <w:t xml:space="preserve">e-commerce </w:t>
      </w:r>
      <w:r>
        <w:rPr>
          <w:b w:val="0"/>
          <w:i w:val="0"/>
          <w:smallCaps w:val="0"/>
          <w:strike w:val="0"/>
          <w:sz w:val="22"/>
          <w:highlight w:val="cyan"/>
          <w:u w:val="single"/>
        </w:rPr>
        <w:t xml:space="preserve">platforms </w:t>
      </w:r>
      <w:r>
        <w:rPr>
          <w:b/>
          <w:i w:val="0"/>
          <w:smallCaps w:val="0"/>
          <w:strike w:val="0"/>
          <w:sz w:val="22"/>
          <w:highlight w:val="cyan"/>
          <w:u w:val="single"/>
        </w:rPr>
        <w:t>clearer guidance</w:t>
      </w:r>
      <w:r>
        <w:rPr>
          <w:b w:val="0"/>
          <w:i w:val="0"/>
          <w:smallCaps w:val="0"/>
          <w:strike w:val="0"/>
          <w:sz w:val="22"/>
          <w:u w:val="single"/>
        </w:rPr>
        <w:t xml:space="preserve"> on their respective rights and liabilities, </w:t>
      </w:r>
      <w:r>
        <w:rPr>
          <w:b w:val="0"/>
          <w:i w:val="0"/>
          <w:smallCaps w:val="0"/>
          <w:strike w:val="0"/>
          <w:sz w:val="22"/>
          <w:highlight w:val="cyan"/>
          <w:u w:val="single"/>
        </w:rPr>
        <w:t>the</w:t>
      </w:r>
      <w:r>
        <w:rPr>
          <w:b w:val="0"/>
          <w:i w:val="0"/>
          <w:smallCaps w:val="0"/>
          <w:strike w:val="0"/>
          <w:sz w:val="22"/>
          <w:u w:val="single"/>
        </w:rPr>
        <w:t xml:space="preserve"> Supreme </w:t>
      </w:r>
      <w:r>
        <w:rPr>
          <w:b w:val="0"/>
          <w:i w:val="0"/>
          <w:smallCaps w:val="0"/>
          <w:strike w:val="0"/>
          <w:sz w:val="22"/>
          <w:highlight w:val="cyan"/>
          <w:u w:val="single"/>
        </w:rPr>
        <w:t xml:space="preserve">Court could </w:t>
      </w:r>
      <w:r>
        <w:rPr>
          <w:b w:val="0"/>
          <w:i w:val="0"/>
          <w:smallCaps w:val="0"/>
          <w:strike w:val="0"/>
          <w:sz w:val="22"/>
          <w:u w:val="single"/>
        </w:rPr>
        <w:t xml:space="preserve">adopt and </w:t>
      </w:r>
      <w:r>
        <w:rPr>
          <w:b w:val="0"/>
          <w:i w:val="0"/>
          <w:smallCaps w:val="0"/>
          <w:strike w:val="0"/>
          <w:sz w:val="22"/>
          <w:highlight w:val="cyan"/>
          <w:u w:val="single"/>
        </w:rPr>
        <w:t xml:space="preserve">extend the </w:t>
      </w:r>
      <w:r>
        <w:rPr>
          <w:b w:val="0"/>
          <w:i w:val="0"/>
          <w:smallCaps w:val="0"/>
          <w:strike w:val="0"/>
          <w:sz w:val="22"/>
          <w:u w:val="single"/>
        </w:rPr>
        <w:t xml:space="preserve">Eleventh Circuit’s broader </w:t>
      </w:r>
      <w:r>
        <w:rPr>
          <w:b w:val="0"/>
          <w:i w:val="0"/>
          <w:smallCaps w:val="0"/>
          <w:strike w:val="0"/>
          <w:sz w:val="22"/>
          <w:highlight w:val="cyan"/>
          <w:u w:val="single"/>
        </w:rPr>
        <w:t xml:space="preserve">approach to e-commerce </w:t>
      </w:r>
      <w:r>
        <w:rPr>
          <w:b w:val="0"/>
          <w:i w:val="0"/>
          <w:smallCaps w:val="0"/>
          <w:strike w:val="0"/>
          <w:sz w:val="22"/>
          <w:u w:val="single"/>
        </w:rPr>
        <w:t>platforms</w:t>
      </w:r>
      <w:r>
        <w:rPr>
          <w:b w:val="0"/>
          <w:i w:val="0"/>
          <w:smallCaps w:val="0"/>
          <w:strike w:val="0"/>
          <w:sz w:val="22"/>
          <w:u w:val="single"/>
        </w:rPr>
        <w:t xml:space="preserve"> when clarifying the Inwood test</w:t>
      </w:r>
      <w:r>
        <w:rPr>
          <w:b w:val="0"/>
          <w:i w:val="0"/>
          <w:smallCaps w:val="0"/>
          <w:strike w:val="0"/>
          <w:u w:val="none"/>
        </w:rPr>
        <w:t xml:space="preserve">. </w:t>
      </w:r>
      <w:r>
        <w:rPr>
          <w:b w:val="0"/>
          <w:i w:val="0"/>
          <w:smallCaps w:val="0"/>
          <w:strike w:val="0"/>
          <w:sz w:val="22"/>
          <w:u w:val="single"/>
        </w:rPr>
        <w:t xml:space="preserve">The Court could explain that </w:t>
      </w:r>
      <w:r>
        <w:rPr>
          <w:b w:val="0"/>
          <w:i w:val="0"/>
          <w:smallCaps w:val="0"/>
          <w:strike w:val="0"/>
          <w:sz w:val="22"/>
          <w:highlight w:val="cyan"/>
          <w:u w:val="single"/>
        </w:rPr>
        <w:t xml:space="preserve">actual or constructive knowledge </w:t>
      </w:r>
      <w:r>
        <w:rPr>
          <w:b w:val="0"/>
          <w:i w:val="0"/>
          <w:smallCaps w:val="0"/>
          <w:strike w:val="0"/>
          <w:sz w:val="22"/>
          <w:u w:val="single"/>
        </w:rPr>
        <w:t xml:space="preserve">of the direct trademark infringements </w:t>
      </w:r>
      <w:r>
        <w:rPr>
          <w:b w:val="0"/>
          <w:i w:val="0"/>
          <w:smallCaps w:val="0"/>
          <w:strike w:val="0"/>
          <w:sz w:val="22"/>
          <w:highlight w:val="cyan"/>
          <w:u w:val="single"/>
        </w:rPr>
        <w:t xml:space="preserve">could arise from </w:t>
      </w:r>
      <w:r>
        <w:rPr>
          <w:b w:val="0"/>
          <w:i w:val="0"/>
          <w:smallCaps w:val="0"/>
          <w:strike w:val="0"/>
          <w:sz w:val="22"/>
          <w:u w:val="single"/>
        </w:rPr>
        <w:t xml:space="preserve">many sources, such as </w:t>
      </w:r>
      <w:r>
        <w:rPr>
          <w:b w:val="0"/>
          <w:i w:val="0"/>
          <w:smallCaps w:val="0"/>
          <w:strike w:val="0"/>
          <w:sz w:val="22"/>
          <w:highlight w:val="cyan"/>
          <w:u w:val="single"/>
        </w:rPr>
        <w:t xml:space="preserve">when trademark owners put </w:t>
      </w:r>
      <w:r>
        <w:rPr>
          <w:b w:val="0"/>
          <w:i w:val="0"/>
          <w:smallCaps w:val="0"/>
          <w:strike w:val="0"/>
          <w:sz w:val="22"/>
          <w:u w:val="single"/>
        </w:rPr>
        <w:t xml:space="preserve">e-commerce </w:t>
      </w:r>
      <w:r>
        <w:rPr>
          <w:b w:val="0"/>
          <w:i w:val="0"/>
          <w:smallCaps w:val="0"/>
          <w:strike w:val="0"/>
          <w:sz w:val="22"/>
          <w:highlight w:val="cyan"/>
          <w:u w:val="single"/>
        </w:rPr>
        <w:t xml:space="preserve">platforms on notice </w:t>
      </w:r>
      <w:r>
        <w:rPr>
          <w:b w:val="0"/>
          <w:i w:val="0"/>
          <w:smallCaps w:val="0"/>
          <w:strike w:val="0"/>
          <w:sz w:val="22"/>
          <w:u w:val="single"/>
        </w:rPr>
        <w:t>that sellers using their platforms have been selling counterfeit products</w:t>
      </w:r>
      <w:r>
        <w:rPr>
          <w:b w:val="0"/>
          <w:i w:val="0"/>
          <w:smallCaps w:val="0"/>
          <w:strike w:val="0"/>
          <w:u w:val="none"/>
        </w:rPr>
        <w:t>.</w:t>
      </w:r>
      <w:r>
        <w:rPr>
          <w:b w:val="0"/>
          <w:i w:val="0"/>
          <w:smallCaps w:val="0"/>
          <w:strike w:val="0"/>
          <w:u w:val="none"/>
        </w:rPr>
        <w:t xml:space="preserve">180 Furthermore, </w:t>
      </w:r>
      <w:r>
        <w:rPr>
          <w:b w:val="0"/>
          <w:i w:val="0"/>
          <w:smallCaps w:val="0"/>
          <w:strike w:val="0"/>
          <w:sz w:val="22"/>
          <w:highlight w:val="cyan"/>
          <w:u w:val="single"/>
        </w:rPr>
        <w:t xml:space="preserve">the Court could establish </w:t>
      </w:r>
      <w:r>
        <w:rPr>
          <w:b w:val="0"/>
          <w:i w:val="0"/>
          <w:smallCaps w:val="0"/>
          <w:strike w:val="0"/>
          <w:sz w:val="22"/>
          <w:u w:val="single"/>
        </w:rPr>
        <w:t xml:space="preserve">that e-commerce </w:t>
      </w:r>
      <w:r>
        <w:rPr>
          <w:b w:val="0"/>
          <w:i w:val="0"/>
          <w:smallCaps w:val="0"/>
          <w:strike w:val="0"/>
          <w:sz w:val="22"/>
          <w:highlight w:val="cyan"/>
          <w:u w:val="single"/>
        </w:rPr>
        <w:t>platforms have a reasonable duty to conduct</w:t>
      </w:r>
      <w:r>
        <w:rPr>
          <w:b w:val="0"/>
          <w:i w:val="0"/>
          <w:smallCaps w:val="0"/>
          <w:strike w:val="0"/>
          <w:sz w:val="22"/>
          <w:u w:val="single"/>
        </w:rPr>
        <w:t xml:space="preserve"> at least a cursory </w:t>
      </w:r>
      <w:r>
        <w:rPr>
          <w:b/>
          <w:i w:val="0"/>
          <w:smallCaps w:val="0"/>
          <w:strike w:val="0"/>
          <w:sz w:val="22"/>
          <w:highlight w:val="cyan"/>
          <w:u w:val="single"/>
        </w:rPr>
        <w:t>automated inspection</w:t>
      </w:r>
      <w:r>
        <w:rPr>
          <w:b w:val="0"/>
          <w:i w:val="0"/>
          <w:smallCaps w:val="0"/>
          <w:strike w:val="0"/>
          <w:sz w:val="22"/>
          <w:highlight w:val="cyan"/>
          <w:u w:val="single"/>
        </w:rPr>
        <w:t xml:space="preserve"> </w:t>
      </w:r>
      <w:r>
        <w:rPr>
          <w:b w:val="0"/>
          <w:i w:val="0"/>
          <w:smallCaps w:val="0"/>
          <w:strike w:val="0"/>
          <w:sz w:val="22"/>
          <w:u w:val="single"/>
        </w:rPr>
        <w:t>of their website</w:t>
      </w:r>
      <w:r>
        <w:rPr>
          <w:b w:val="0"/>
          <w:i w:val="0"/>
          <w:smallCaps w:val="0"/>
          <w:strike w:val="0"/>
          <w:u w:val="none"/>
        </w:rPr>
        <w:t xml:space="preserve"> if they receive allegations of direct trademark infringements from trademark owners. Like in Luxottica, this duty is reasonable because </w:t>
      </w:r>
      <w:r>
        <w:rPr>
          <w:b w:val="0"/>
          <w:i w:val="0"/>
          <w:smallCaps w:val="0"/>
          <w:strike w:val="0"/>
          <w:sz w:val="22"/>
          <w:u w:val="single"/>
        </w:rPr>
        <w:t xml:space="preserve">a rudimentary </w:t>
      </w:r>
      <w:r>
        <w:rPr>
          <w:b w:val="0"/>
          <w:i w:val="0"/>
          <w:smallCaps w:val="0"/>
          <w:strike w:val="0"/>
          <w:sz w:val="22"/>
          <w:highlight w:val="cyan"/>
          <w:u w:val="single"/>
        </w:rPr>
        <w:t xml:space="preserve">automated inspection of e-commerce platforms’ own websites would </w:t>
      </w:r>
      <w:r>
        <w:rPr>
          <w:b/>
          <w:i w:val="0"/>
          <w:smallCaps w:val="0"/>
          <w:strike w:val="0"/>
          <w:sz w:val="22"/>
          <w:highlight w:val="cyan"/>
          <w:u w:val="single"/>
        </w:rPr>
        <w:t>not be too burdensome</w:t>
      </w:r>
      <w:r>
        <w:rPr>
          <w:b w:val="0"/>
          <w:i w:val="0"/>
          <w:smallCaps w:val="0"/>
          <w:strike w:val="0"/>
          <w:u w:val="none"/>
        </w:rPr>
        <w:t>.181</w:t>
      </w:r>
    </w:p>
    <w:p>
      <w:pPr>
        <w:spacing w:after="60"/>
      </w:pPr>
      <w:r>
        <w:rPr>
          <w:b w:val="0"/>
          <w:i w:val="0"/>
          <w:smallCaps w:val="0"/>
          <w:strike w:val="0"/>
          <w:sz w:val="22"/>
          <w:highlight w:val="cyan"/>
          <w:u w:val="single"/>
        </w:rPr>
        <w:t>The Luxottica approach is less burdensome than the</w:t>
      </w:r>
      <w:r>
        <w:rPr>
          <w:b w:val="0"/>
          <w:i w:val="0"/>
          <w:smallCaps w:val="0"/>
          <w:strike w:val="0"/>
          <w:sz w:val="22"/>
          <w:u w:val="single"/>
        </w:rPr>
        <w:t xml:space="preserve"> Second</w:t>
      </w:r>
      <w:r>
        <w:rPr>
          <w:b w:val="0"/>
          <w:i w:val="0"/>
          <w:smallCaps w:val="0"/>
          <w:strike w:val="0"/>
          <w:sz w:val="22"/>
          <w:u w:val="single"/>
        </w:rPr>
        <w:t xml:space="preserve"> </w:t>
      </w:r>
      <w:r>
        <w:rPr>
          <w:b w:val="0"/>
          <w:i w:val="0"/>
          <w:smallCaps w:val="0"/>
          <w:strike w:val="0"/>
          <w:sz w:val="22"/>
          <w:u w:val="single"/>
        </w:rPr>
        <w:t xml:space="preserve">Circuit’s </w:t>
      </w:r>
      <w:r>
        <w:rPr>
          <w:b w:val="0"/>
          <w:i w:val="0"/>
          <w:smallCaps w:val="0"/>
          <w:strike w:val="0"/>
          <w:sz w:val="22"/>
          <w:highlight w:val="cyan"/>
          <w:u w:val="single"/>
        </w:rPr>
        <w:t>approach in Tiffany since</w:t>
      </w:r>
      <w:r>
        <w:rPr>
          <w:b w:val="0"/>
          <w:i w:val="0"/>
          <w:smallCaps w:val="0"/>
          <w:strike w:val="0"/>
          <w:sz w:val="22"/>
          <w:u w:val="single"/>
        </w:rPr>
        <w:t xml:space="preserve"> </w:t>
      </w:r>
      <w:r>
        <w:rPr>
          <w:b w:val="0"/>
          <w:i w:val="0"/>
          <w:smallCaps w:val="0"/>
          <w:strike w:val="0"/>
          <w:sz w:val="22"/>
          <w:highlight w:val="cyan"/>
          <w:u w:val="single"/>
        </w:rPr>
        <w:t>it does not require trademark owners to inform the e-commerce platform of every infringing post</w:t>
      </w:r>
      <w:r>
        <w:rPr>
          <w:b w:val="0"/>
          <w:i w:val="0"/>
          <w:smallCaps w:val="0"/>
          <w:strike w:val="0"/>
          <w:u w:val="none"/>
        </w:rPr>
        <w:t xml:space="preserve">. 182 Additionally, </w:t>
      </w:r>
      <w:r>
        <w:rPr>
          <w:b w:val="0"/>
          <w:i w:val="0"/>
          <w:smallCaps w:val="0"/>
          <w:strike w:val="0"/>
          <w:sz w:val="22"/>
          <w:highlight w:val="cyan"/>
          <w:u w:val="single"/>
        </w:rPr>
        <w:t xml:space="preserve">this </w:t>
      </w:r>
      <w:r>
        <w:rPr>
          <w:b w:val="0"/>
          <w:i w:val="0"/>
          <w:smallCaps w:val="0"/>
          <w:strike w:val="0"/>
          <w:sz w:val="22"/>
          <w:u w:val="single"/>
        </w:rPr>
        <w:t>approach</w:t>
      </w:r>
      <w:r>
        <w:rPr>
          <w:b w:val="0"/>
          <w:i w:val="0"/>
          <w:smallCaps w:val="0"/>
          <w:strike w:val="0"/>
          <w:sz w:val="22"/>
          <w:highlight w:val="cyan"/>
          <w:u w:val="single"/>
        </w:rPr>
        <w:t xml:space="preserve"> </w:t>
      </w:r>
      <w:r>
        <w:rPr>
          <w:b/>
          <w:i w:val="0"/>
          <w:smallCaps w:val="0"/>
          <w:strike w:val="0"/>
          <w:sz w:val="22"/>
          <w:highlight w:val="cyan"/>
          <w:u w:val="single"/>
        </w:rPr>
        <w:t>alleviates a reasonable amount of monitoring duty from the trademark owners</w:t>
      </w:r>
      <w:r>
        <w:rPr>
          <w:b w:val="0"/>
          <w:i w:val="0"/>
          <w:smallCaps w:val="0"/>
          <w:strike w:val="0"/>
          <w:sz w:val="22"/>
          <w:highlight w:val="cyan"/>
          <w:u w:val="single"/>
        </w:rPr>
        <w:t xml:space="preserve"> </w:t>
      </w:r>
      <w:r>
        <w:rPr>
          <w:b w:val="0"/>
          <w:i w:val="0"/>
          <w:smallCaps w:val="0"/>
          <w:strike w:val="0"/>
          <w:sz w:val="22"/>
          <w:u w:val="single"/>
        </w:rPr>
        <w:t>and place it on e-commerce platforms.</w:t>
      </w:r>
      <w:r>
        <w:rPr>
          <w:b w:val="0"/>
          <w:i w:val="0"/>
          <w:smallCaps w:val="0"/>
          <w:strike w:val="0"/>
          <w:u w:val="none"/>
        </w:rPr>
        <w:t xml:space="preserve"> Thus, </w:t>
      </w:r>
      <w:r>
        <w:rPr>
          <w:b w:val="0"/>
          <w:i w:val="0"/>
          <w:smallCaps w:val="0"/>
          <w:strike w:val="0"/>
          <w:sz w:val="22"/>
          <w:highlight w:val="cyan"/>
          <w:u w:val="single"/>
        </w:rPr>
        <w:t>compared to</w:t>
      </w:r>
      <w:r>
        <w:rPr>
          <w:b w:val="0"/>
          <w:i w:val="0"/>
          <w:smallCaps w:val="0"/>
          <w:strike w:val="0"/>
          <w:u w:val="none"/>
        </w:rPr>
        <w:t xml:space="preserve"> the </w:t>
      </w:r>
      <w:r>
        <w:rPr>
          <w:b w:val="0"/>
          <w:i w:val="0"/>
          <w:smallCaps w:val="0"/>
          <w:strike w:val="0"/>
          <w:sz w:val="22"/>
          <w:highlight w:val="cyan"/>
          <w:u w:val="single"/>
        </w:rPr>
        <w:t>Tiffany</w:t>
      </w:r>
      <w:r>
        <w:rPr>
          <w:b w:val="0"/>
          <w:i w:val="0"/>
          <w:smallCaps w:val="0"/>
          <w:strike w:val="0"/>
          <w:sz w:val="22"/>
          <w:u w:val="single"/>
        </w:rPr>
        <w:t xml:space="preserve"> </w:t>
      </w:r>
      <w:r>
        <w:rPr>
          <w:b w:val="0"/>
          <w:i w:val="0"/>
          <w:smallCaps w:val="0"/>
          <w:strike w:val="0"/>
          <w:u w:val="none"/>
        </w:rPr>
        <w:t xml:space="preserve">approach, </w:t>
      </w:r>
      <w:r>
        <w:rPr>
          <w:b w:val="0"/>
          <w:i w:val="0"/>
          <w:smallCaps w:val="0"/>
          <w:strike w:val="0"/>
          <w:sz w:val="22"/>
          <w:highlight w:val="cyan"/>
          <w:u w:val="single"/>
        </w:rPr>
        <w:t xml:space="preserve">the Luxottica approach would be </w:t>
      </w:r>
      <w:r>
        <w:rPr>
          <w:b/>
          <w:i w:val="0"/>
          <w:smallCaps w:val="0"/>
          <w:strike w:val="0"/>
          <w:sz w:val="22"/>
          <w:highlight w:val="cyan"/>
          <w:u w:val="single"/>
        </w:rPr>
        <w:t>better suited to solve the balancing conundrum</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