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Proactive enforcement </w:t>
      </w:r>
      <w:r>
        <w:rPr>
          <w:b/>
          <w:i w:val="0"/>
          <w:smallCaps w:val="0"/>
          <w:strike w:val="0"/>
          <w:sz w:val="26"/>
          <w:u w:val="none"/>
        </w:rPr>
        <w:t>exempts platforms from further liability and</w:t>
      </w:r>
      <w:r>
        <w:rPr>
          <w:b/>
          <w:i w:val="0"/>
          <w:smallCaps w:val="0"/>
          <w:strike w:val="0"/>
          <w:sz w:val="26"/>
          <w:u w:val="none"/>
        </w:rPr>
        <w:t xml:space="preserve"> </w:t>
      </w:r>
      <w:r>
        <w:rPr>
          <w:b/>
          <w:i w:val="0"/>
          <w:smallCaps w:val="0"/>
          <w:strike w:val="0"/>
          <w:sz w:val="26"/>
          <w:u w:val="none"/>
        </w:rPr>
        <w:t>reduce</w:t>
      </w:r>
      <w:r>
        <w:rPr>
          <w:b/>
          <w:i w:val="0"/>
          <w:smallCaps w:val="0"/>
          <w:strike w:val="0"/>
          <w:sz w:val="26"/>
          <w:u w:val="none"/>
        </w:rPr>
        <w:t>s</w:t>
      </w:r>
      <w:r>
        <w:rPr>
          <w:b/>
          <w:i w:val="0"/>
          <w:smallCaps w:val="0"/>
          <w:strike w:val="0"/>
          <w:sz w:val="26"/>
          <w:u w:val="none"/>
        </w:rPr>
        <w:t xml:space="preserve"> overall costs</w:t>
      </w:r>
    </w:p>
    <w:p>
      <w:pPr>
        <w:spacing w:after="80"/>
      </w:pPr>
      <w:r>
        <w:rPr>
          <w:b w:val="0"/>
          <w:i w:val="0"/>
          <w:smallCaps w:val="0"/>
          <w:strike w:val="0"/>
          <w:u w:val="none"/>
        </w:rPr>
        <w:t xml:space="preserve">Yassine </w:t>
      </w:r>
      <w:r>
        <w:rPr>
          <w:b/>
          <w:i w:val="0"/>
          <w:smallCaps w:val="0"/>
          <w:strike w:val="0"/>
          <w:sz w:val="26"/>
          <w:u w:val="none"/>
        </w:rPr>
        <w:t>Lefouili</w:t>
      </w:r>
      <w:r>
        <w:rPr>
          <w:b/>
          <w:i w:val="0"/>
          <w:smallCaps w:val="0"/>
          <w:strike w:val="0"/>
          <w:sz w:val="26"/>
          <w:u w:val="none"/>
        </w:rPr>
        <w:t xml:space="preserve"> and</w:t>
      </w:r>
      <w:r>
        <w:rPr>
          <w:b w:val="0"/>
          <w:i w:val="0"/>
          <w:smallCaps w:val="0"/>
          <w:strike w:val="0"/>
          <w:u w:val="none"/>
        </w:rPr>
        <w:t xml:space="preserve"> Leonardo </w:t>
      </w:r>
      <w:r>
        <w:rPr>
          <w:b/>
          <w:i w:val="0"/>
          <w:smallCaps w:val="0"/>
          <w:strike w:val="0"/>
          <w:sz w:val="26"/>
          <w:u w:val="none"/>
        </w:rPr>
        <w:t>Madio</w:t>
      </w:r>
      <w:r>
        <w:rPr>
          <w:b/>
          <w:i w:val="0"/>
          <w:smallCaps w:val="0"/>
          <w:strike w:val="0"/>
          <w:sz w:val="26"/>
          <w:u w:val="none"/>
        </w:rPr>
        <w:t>,</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*Toulouse School of Economics, University of Toulouse </w:t>
      </w:r>
      <w:r>
        <w:rPr>
          <w:b w:val="0"/>
          <w:i w:val="0"/>
          <w:smallCaps w:val="0"/>
          <w:strike w:val="0"/>
          <w:u w:val="none"/>
        </w:rPr>
        <w:t>Capitole</w:t>
      </w:r>
      <w:r>
        <w:rPr>
          <w:b w:val="0"/>
          <w:i w:val="0"/>
          <w:smallCaps w:val="0"/>
          <w:strike w:val="0"/>
          <w:u w:val="none"/>
        </w:rPr>
        <w:t xml:space="preserve">, Toulouse, France AND **Department of Economics and Management, University of Padua, Padua, Italy “The economics of platform liability” </w:t>
      </w:r>
      <w:r>
        <w:rPr>
          <w:b w:val="0"/>
          <w:i w:val="0"/>
          <w:smallCaps w:val="0"/>
          <w:strike w:val="0"/>
          <w:u w:val="none"/>
        </w:rPr>
        <w:t>Eur</w:t>
      </w:r>
      <w:r>
        <w:rPr>
          <w:b w:val="0"/>
          <w:i w:val="0"/>
          <w:smallCaps w:val="0"/>
          <w:strike w:val="0"/>
          <w:u w:val="none"/>
        </w:rPr>
        <w:t xml:space="preserve"> J Law Econ. 2022; 53(3): 319–351. </w:t>
      </w:r>
      <w:r>
        <w:rPr>
          <w:b w:val="0"/>
          <w:i w:val="0"/>
          <w:smallCaps w:val="0"/>
          <w:strike w:val="0"/>
          <w:u w:val="none"/>
        </w:rPr>
        <w:t xml:space="preserve"> //DH</w:t>
      </w:r>
    </w:p>
    <w:p>
      <w:pPr>
        <w:spacing w:after="60"/>
      </w:pPr>
      <w:r>
        <w:rPr>
          <w:b w:val="0"/>
          <w:i w:val="0"/>
          <w:smallCaps w:val="0"/>
          <w:strike w:val="0"/>
          <w:u w:val="none"/>
        </w:rPr>
        <w:t xml:space="preserve">It is fundamental that service providers should not be discouraged from taking proactive measures that increase their level of knowledge on misconduct occurring on the platform. In the European Union, as discussed broadly by several scholars (e.g., Buiten et al., 2020), </w:t>
      </w:r>
      <w:r>
        <w:rPr>
          <w:b w:val="0"/>
          <w:i w:val="0"/>
          <w:smallCaps w:val="0"/>
          <w:strike w:val="0"/>
          <w:sz w:val="22"/>
          <w:highlight w:val="cyan"/>
          <w:u w:val="single"/>
        </w:rPr>
        <w:t xml:space="preserve">platforms might not have appropriate incentives to monitor online activities. </w:t>
      </w:r>
      <w:r>
        <w:rPr>
          <w:b w:val="0"/>
          <w:i w:val="0"/>
          <w:smallCaps w:val="0"/>
          <w:strike w:val="0"/>
          <w:sz w:val="22"/>
          <w:u w:val="single"/>
        </w:rPr>
        <w:t xml:space="preserve">This is </w:t>
      </w:r>
      <w:r>
        <w:rPr>
          <w:b w:val="0"/>
          <w:i w:val="0"/>
          <w:smallCaps w:val="0"/>
          <w:strike w:val="0"/>
          <w:sz w:val="22"/>
          <w:highlight w:val="cyan"/>
          <w:u w:val="single"/>
        </w:rPr>
        <w:t xml:space="preserve">because </w:t>
      </w:r>
      <w:r>
        <w:rPr>
          <w:b w:val="0"/>
          <w:i w:val="0"/>
          <w:smallCaps w:val="0"/>
          <w:strike w:val="0"/>
          <w:sz w:val="22"/>
          <w:u w:val="single"/>
        </w:rPr>
        <w:t xml:space="preserve">the </w:t>
      </w:r>
      <w:r>
        <w:rPr>
          <w:b w:val="0"/>
          <w:i w:val="0"/>
          <w:smallCaps w:val="0"/>
          <w:strike w:val="0"/>
          <w:sz w:val="22"/>
          <w:highlight w:val="cyan"/>
          <w:u w:val="single"/>
        </w:rPr>
        <w:t>current liability</w:t>
      </w:r>
      <w:r>
        <w:rPr>
          <w:b w:val="0"/>
          <w:i w:val="0"/>
          <w:smallCaps w:val="0"/>
          <w:strike w:val="0"/>
          <w:sz w:val="22"/>
          <w:u w:val="single"/>
        </w:rPr>
        <w:t xml:space="preserve"> regime </w:t>
      </w:r>
      <w:r>
        <w:rPr>
          <w:b w:val="0"/>
          <w:i w:val="0"/>
          <w:smallCaps w:val="0"/>
          <w:strike w:val="0"/>
          <w:sz w:val="22"/>
          <w:highlight w:val="cyan"/>
          <w:u w:val="single"/>
        </w:rPr>
        <w:t xml:space="preserve">grants </w:t>
      </w:r>
      <w:r>
        <w:rPr>
          <w:b w:val="0"/>
          <w:i w:val="0"/>
          <w:smallCaps w:val="0"/>
          <w:strike w:val="0"/>
          <w:sz w:val="22"/>
          <w:u w:val="single"/>
        </w:rPr>
        <w:t>hosting</w:t>
      </w:r>
      <w:r>
        <w:rPr>
          <w:b w:val="0"/>
          <w:i w:val="0"/>
          <w:smallCaps w:val="0"/>
          <w:strike w:val="0"/>
          <w:sz w:val="22"/>
          <w:highlight w:val="cyan"/>
          <w:u w:val="single"/>
        </w:rPr>
        <w:t xml:space="preserve"> platforms liability exemption based on the</w:t>
      </w:r>
      <w:r>
        <w:rPr>
          <w:b w:val="0"/>
          <w:i w:val="0"/>
          <w:smallCaps w:val="0"/>
          <w:strike w:val="0"/>
          <w:u w:val="none"/>
        </w:rPr>
        <w:t xml:space="preserve"> so-called “</w:t>
      </w:r>
      <w:r>
        <w:rPr>
          <w:b w:val="0"/>
          <w:i w:val="0"/>
          <w:smallCaps w:val="0"/>
          <w:strike w:val="0"/>
          <w:sz w:val="22"/>
          <w:highlight w:val="cyan"/>
          <w:u w:val="single"/>
        </w:rPr>
        <w:t>knowledge standard</w:t>
      </w:r>
      <w:r>
        <w:rPr>
          <w:b w:val="0"/>
          <w:i w:val="0"/>
          <w:smallCaps w:val="0"/>
          <w:strike w:val="0"/>
          <w:u w:val="none"/>
        </w:rPr>
        <w:t xml:space="preserve">”. In other words, </w:t>
      </w:r>
      <w:r>
        <w:rPr>
          <w:b w:val="0"/>
          <w:i w:val="0"/>
          <w:smallCaps w:val="0"/>
          <w:strike w:val="0"/>
          <w:sz w:val="22"/>
          <w:highlight w:val="cyan"/>
          <w:u w:val="single"/>
        </w:rPr>
        <w:t>platforms can benefit from immunity when they do not know about illegal ongoing activity</w:t>
      </w:r>
      <w:r>
        <w:rPr>
          <w:b w:val="0"/>
          <w:i w:val="0"/>
          <w:smallCaps w:val="0"/>
          <w:strike w:val="0"/>
          <w:u w:val="none"/>
        </w:rPr>
        <w:t xml:space="preserve"> or information hosted on the platform and when they act expeditiously to block access to it upon notification</w:t>
      </w:r>
      <w:r>
        <w:rPr>
          <w:b w:val="0"/>
          <w:i w:val="0"/>
          <w:smallCaps w:val="0"/>
          <w:strike w:val="0"/>
          <w:highlight w:val="cyan"/>
          <w:u w:val="none"/>
        </w:rPr>
        <w:t xml:space="preserve">. </w:t>
      </w:r>
      <w:r>
        <w:rPr>
          <w:b w:val="0"/>
          <w:i w:val="0"/>
          <w:smallCaps w:val="0"/>
          <w:strike w:val="0"/>
          <w:sz w:val="22"/>
          <w:highlight w:val="cyan"/>
          <w:u w:val="single"/>
        </w:rPr>
        <w:t>One</w:t>
      </w:r>
      <w:r>
        <w:rPr>
          <w:b w:val="0"/>
          <w:i w:val="0"/>
          <w:smallCaps w:val="0"/>
          <w:strike w:val="0"/>
          <w:sz w:val="22"/>
          <w:u w:val="single"/>
        </w:rPr>
        <w:t xml:space="preserve"> </w:t>
      </w:r>
      <w:r>
        <w:rPr>
          <w:b w:val="0"/>
          <w:i w:val="0"/>
          <w:smallCaps w:val="0"/>
          <w:strike w:val="0"/>
          <w:u w:val="none"/>
        </w:rPr>
        <w:t xml:space="preserve">often proposed </w:t>
      </w:r>
      <w:r>
        <w:rPr>
          <w:b w:val="0"/>
          <w:i w:val="0"/>
          <w:smallCaps w:val="0"/>
          <w:strike w:val="0"/>
          <w:sz w:val="22"/>
          <w:highlight w:val="cyan"/>
          <w:u w:val="single"/>
        </w:rPr>
        <w:t>solution</w:t>
      </w:r>
      <w:r>
        <w:rPr>
          <w:b w:val="0"/>
          <w:i w:val="0"/>
          <w:smallCaps w:val="0"/>
          <w:strike w:val="0"/>
          <w:sz w:val="22"/>
          <w:u w:val="single"/>
        </w:rPr>
        <w:t xml:space="preserve"> is the</w:t>
      </w:r>
      <w:r>
        <w:rPr>
          <w:b w:val="0"/>
          <w:i w:val="0"/>
          <w:smallCaps w:val="0"/>
          <w:strike w:val="0"/>
          <w:u w:val="none"/>
        </w:rPr>
        <w:t xml:space="preserve"> adoption of a </w:t>
      </w:r>
      <w:r>
        <w:rPr>
          <w:b w:val="0"/>
          <w:i w:val="0"/>
          <w:smallCaps w:val="0"/>
          <w:strike w:val="0"/>
          <w:sz w:val="22"/>
          <w:u w:val="single"/>
        </w:rPr>
        <w:t>“Good Samaritan” approach</w:t>
      </w:r>
      <w:r>
        <w:rPr>
          <w:b w:val="0"/>
          <w:i w:val="0"/>
          <w:smallCaps w:val="0"/>
          <w:strike w:val="0"/>
          <w:u w:val="none"/>
        </w:rPr>
        <w:t xml:space="preserve">, already present in the US, </w:t>
      </w:r>
      <w:r>
        <w:rPr>
          <w:b w:val="0"/>
          <w:i w:val="0"/>
          <w:smallCaps w:val="0"/>
          <w:strike w:val="0"/>
          <w:sz w:val="22"/>
          <w:u w:val="single"/>
        </w:rPr>
        <w:t xml:space="preserve">which </w:t>
      </w:r>
      <w:r>
        <w:rPr>
          <w:b w:val="0"/>
          <w:i w:val="0"/>
          <w:smallCaps w:val="0"/>
          <w:strike w:val="0"/>
          <w:sz w:val="22"/>
          <w:highlight w:val="cyan"/>
          <w:u w:val="single"/>
        </w:rPr>
        <w:t xml:space="preserve">exempts platforms from liability when </w:t>
      </w:r>
      <w:r>
        <w:rPr>
          <w:b/>
          <w:i w:val="0"/>
          <w:smallCaps w:val="0"/>
          <w:strike w:val="0"/>
          <w:sz w:val="22"/>
          <w:highlight w:val="cyan"/>
          <w:u w:val="single"/>
        </w:rPr>
        <w:t>pro-active measures to detect online misconduct are undertaken</w:t>
      </w:r>
      <w:r>
        <w:rPr>
          <w:b w:val="0"/>
          <w:i w:val="0"/>
          <w:smallCaps w:val="0"/>
          <w:strike w:val="0"/>
          <w:u w:val="none"/>
        </w:rPr>
        <w:t xml:space="preserve"> (Buiten et al., 2020). </w:t>
      </w:r>
      <w:r>
        <w:rPr>
          <w:b w:val="0"/>
          <w:i w:val="0"/>
          <w:smallCaps w:val="0"/>
          <w:strike w:val="0"/>
          <w:sz w:val="22"/>
          <w:highlight w:val="cyan"/>
          <w:u w:val="single"/>
        </w:rPr>
        <w:t xml:space="preserve">Such an approach would not only induce platforms to </w:t>
      </w:r>
      <w:r>
        <w:rPr>
          <w:b w:val="0"/>
          <w:i w:val="0"/>
          <w:smallCaps w:val="0"/>
          <w:strike w:val="0"/>
          <w:sz w:val="22"/>
          <w:u w:val="single"/>
        </w:rPr>
        <w:t xml:space="preserve">observe, </w:t>
      </w:r>
      <w:r>
        <w:rPr>
          <w:b w:val="0"/>
          <w:i w:val="0"/>
          <w:smallCaps w:val="0"/>
          <w:strike w:val="0"/>
          <w:sz w:val="22"/>
          <w:highlight w:val="cyan"/>
          <w:u w:val="single"/>
        </w:rPr>
        <w:t>monitor</w:t>
      </w:r>
      <w:r>
        <w:rPr>
          <w:b w:val="0"/>
          <w:i w:val="0"/>
          <w:smallCaps w:val="0"/>
          <w:strike w:val="0"/>
          <w:sz w:val="22"/>
          <w:u w:val="single"/>
        </w:rPr>
        <w:t xml:space="preserve">, and become informed about online misconduct </w:t>
      </w:r>
      <w:r>
        <w:rPr>
          <w:b w:val="0"/>
          <w:i w:val="0"/>
          <w:smallCaps w:val="0"/>
          <w:strike w:val="0"/>
          <w:sz w:val="22"/>
          <w:highlight w:val="cyan"/>
          <w:u w:val="single"/>
        </w:rPr>
        <w:t xml:space="preserve">but would also increase their incentives to ban and report wrongdoers </w:t>
      </w:r>
      <w:r>
        <w:rPr>
          <w:b w:val="0"/>
          <w:i w:val="0"/>
          <w:smallCaps w:val="0"/>
          <w:strike w:val="0"/>
          <w:sz w:val="22"/>
          <w:u w:val="single"/>
        </w:rPr>
        <w:t xml:space="preserve">in a timely fashion </w:t>
      </w:r>
      <w:r>
        <w:rPr>
          <w:b w:val="0"/>
          <w:i w:val="0"/>
          <w:smallCaps w:val="0"/>
          <w:strike w:val="0"/>
          <w:sz w:val="22"/>
          <w:highlight w:val="cyan"/>
          <w:u w:val="single"/>
        </w:rPr>
        <w:t xml:space="preserve">because of the </w:t>
      </w:r>
      <w:r>
        <w:rPr>
          <w:b/>
          <w:i w:val="0"/>
          <w:smallCaps w:val="0"/>
          <w:strike w:val="0"/>
          <w:sz w:val="22"/>
          <w:highlight w:val="cyan"/>
          <w:u w:val="single"/>
        </w:rPr>
        <w:t>reduced expected costs</w:t>
      </w:r>
      <w:r>
        <w:rPr>
          <w:b w:val="0"/>
          <w:i w:val="0"/>
          <w:smallCaps w:val="0"/>
          <w:strike w:val="0"/>
          <w:sz w:val="22"/>
          <w:highlight w:val="cyan"/>
          <w:u w:val="single"/>
        </w:rPr>
        <w:t xml:space="preserve"> that banning and reporting would imply</w:t>
      </w:r>
      <w:r>
        <w:rPr>
          <w:b w:val="0"/>
          <w:i w:val="0"/>
          <w:smallCaps w:val="0"/>
          <w:strike w:val="0"/>
          <w:u w:val="none"/>
        </w:rPr>
        <w:t xml:space="preserve">.38 In this sense, </w:t>
      </w:r>
      <w:r>
        <w:rPr>
          <w:b w:val="0"/>
          <w:i w:val="0"/>
          <w:smallCaps w:val="0"/>
          <w:strike w:val="0"/>
          <w:sz w:val="22"/>
          <w:u w:val="single"/>
        </w:rPr>
        <w:t>a “Good Samaritan” rule may foster self-regulation</w:t>
      </w:r>
      <w:r>
        <w:rPr>
          <w:b w:val="0"/>
          <w:i w:val="0"/>
          <w:smallCaps w:val="0"/>
          <w:strike w:val="0"/>
          <w:u w:val="none"/>
        </w:rPr>
        <w:t>.</w:t>
      </w:r>
      <w:r>
        <w:rPr>
          <w:b w:val="0"/>
          <w:i w:val="0"/>
          <w:smallCaps w:val="0"/>
          <w:strike w:val="0"/>
          <w:u w:val="none"/>
        </w:rPr>
        <w:t xml:space="preserve"> We note that the recent proposal unveiled by the European Commission for a Digital Services Act fills the void that was present in the previous regulation by introducing a liability exemption also for those intermediary services that “carry out voluntary own-initiative investigations or other activities aimed at detecting, identifying and removing, or disabling of access to, illegal content” (Art. 6).</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