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That</w:t>
      </w:r>
      <w:r>
        <w:rPr>
          <w:b/>
          <w:i w:val="0"/>
          <w:smallCaps w:val="0"/>
          <w:strike w:val="0"/>
          <w:sz w:val="26"/>
          <w:u w:val="none"/>
        </w:rPr>
        <w:t xml:space="preserve"> </w:t>
      </w:r>
      <w:r>
        <w:rPr>
          <w:b/>
          <w:i w:val="0"/>
          <w:smallCaps w:val="0"/>
          <w:strike w:val="0"/>
          <w:sz w:val="26"/>
          <w:u w:val="none"/>
        </w:rPr>
        <w:t>risks a full nuclear exchange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James </w:t>
      </w:r>
      <w:r>
        <w:rPr>
          <w:b/>
          <w:i w:val="0"/>
          <w:smallCaps w:val="0"/>
          <w:strike w:val="0"/>
          <w:sz w:val="26"/>
          <w:u w:val="none"/>
        </w:rPr>
        <w:t>Johnson,</w:t>
      </w:r>
      <w:r>
        <w:rPr>
          <w:b w:val="0"/>
          <w:i w:val="0"/>
          <w:smallCaps w:val="0"/>
          <w:strike w:val="0"/>
          <w:u w:val="none"/>
        </w:rPr>
        <w:t xml:space="preserve"> 20</w:t>
      </w:r>
      <w:r>
        <w:rPr>
          <w:b/>
          <w:i w:val="0"/>
          <w:smallCaps w:val="0"/>
          <w:strike w:val="0"/>
          <w:sz w:val="26"/>
          <w:u w:val="none"/>
        </w:rPr>
        <w:t>21</w:t>
      </w:r>
      <w:r>
        <w:rPr>
          <w:b w:val="0"/>
          <w:i w:val="0"/>
          <w:smallCaps w:val="0"/>
          <w:strike w:val="0"/>
          <w:u w:val="none"/>
        </w:rPr>
        <w:t xml:space="preserve"> –</w:t>
      </w:r>
      <w:r>
        <w:rPr>
          <w:b w:val="0"/>
          <w:i w:val="0"/>
          <w:smallCaps w:val="0"/>
          <w:strike w:val="0"/>
          <w:u w:val="none"/>
        </w:rPr>
        <w:t xml:space="preserve"> Assistant Professor in the School of Law and Government at Dublin City University and a Non-Resident Fellow with the Modern War Institute at West Point. Dr Johnson was previously a Postdoctoral Research Fellow at the James Martin Center for Nonproliferation Studies in Monterey, California</w:t>
      </w:r>
      <w:r>
        <w:rPr>
          <w:b w:val="0"/>
          <w:i w:val="0"/>
          <w:smallCaps w:val="0"/>
          <w:strike w:val="0"/>
          <w:u w:val="none"/>
        </w:rPr>
        <w:t xml:space="preserve"> “‘Catalytic nuclear war’ in the age of artificial intelligence &amp; autonomy: Emerging military technology and escalation risk between nuclear-armed states” Journal of Strategic Studies, </w:t>
      </w:r>
      <w:r>
        <w:rPr>
          <w:b w:val="0"/>
          <w:i w:val="0"/>
          <w:smallCaps w:val="0"/>
          <w:strike w:val="0"/>
          <w:u w:val="none"/>
        </w:rPr>
        <w:t>1/15, Taylor &amp; Francis database, accessed via University of Michigan //DH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If a non-state group realized that the possession of nuclear weapons could trigger a total catalytic war between two or more major nuclear-armed states, what possible situations might set these dynamics in motion?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potential success of a catalytic nuclear detonation by a terrorist group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during a crisis between two nuclear-armed states</w:t>
      </w:r>
      <w:r>
        <w:rPr>
          <w:b w:val="0"/>
          <w:i w:val="0"/>
          <w:smallCaps w:val="0"/>
          <w:strike w:val="0"/>
          <w:u w:val="none"/>
        </w:rPr>
        <w:t xml:space="preserve"> (i.e., the original target of the nefarious attack and the victim of a subsequent inadvertent retaliatory strike), when tensions are running high, and a heightened state of alert is in place – at a nuclear or sub-nuclear level –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would likely be amplified</w:t>
      </w:r>
      <w:r>
        <w:rPr>
          <w:b w:val="0"/>
          <w:i w:val="0"/>
          <w:smallCaps w:val="0"/>
          <w:strike w:val="0"/>
          <w:u w:val="none"/>
        </w:rPr>
        <w:t xml:space="preserve">. That is,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 broader nuclear exchange would likely occur</w:t>
      </w:r>
      <w:r>
        <w:rPr>
          <w:b w:val="0"/>
          <w:i w:val="0"/>
          <w:smallCaps w:val="0"/>
          <w:strike w:val="0"/>
          <w:u w:val="none"/>
        </w:rPr>
        <w:t>. Moreover</w:t>
      </w:r>
      <w:r>
        <w:rPr>
          <w:b w:val="0"/>
          <w:i w:val="0"/>
          <w:smallCaps w:val="0"/>
          <w:strike w:val="0"/>
          <w:highlight w:val="cyan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 non-state actor might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exploit a tense situation by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mak</w:t>
      </w:r>
      <w:r>
        <w:rPr>
          <w:b w:val="0"/>
          <w:i w:val="0"/>
          <w:smallCaps w:val="0"/>
          <w:strike w:val="0"/>
          <w:sz w:val="22"/>
          <w:u w:val="single"/>
        </w:rPr>
        <w:t>ing p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rovocative false claims that its attack had been sanctioned</w:t>
      </w:r>
      <w:r>
        <w:rPr>
          <w:b w:val="0"/>
          <w:i w:val="0"/>
          <w:smallCaps w:val="0"/>
          <w:strike w:val="0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by the state with which the victim of the attack was already in a crisis</w:t>
      </w:r>
      <w:r>
        <w:rPr>
          <w:b w:val="0"/>
          <w:i w:val="0"/>
          <w:smallCaps w:val="0"/>
          <w:strike w:val="0"/>
          <w:u w:val="none"/>
        </w:rPr>
        <w:t xml:space="preserve">, or worse still, nuclear brinkmanship. Against the backdrop of fear, acrimony, and paranoia – when decision-makers are more susceptible to misperception and misunderstanding – any denials or assurances would fall on deaf ears.24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If a repeat of the 1999 Kargil crisis or the more recent Indian-Pakistani stand-off in 2019, a non-state nuclear detonation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(or the credible threat of one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)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could spark an accidental or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inadvertent nuclear exchange</w:t>
      </w:r>
      <w:r>
        <w:rPr>
          <w:b w:val="0"/>
          <w:i w:val="0"/>
          <w:smallCaps w:val="0"/>
          <w:strike w:val="0"/>
          <w:u w:val="none"/>
        </w:rPr>
        <w:t>.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25 Thus, any confidence Indian or Pakistani has in their ability to manage a conflict below the nuclear-level would likely be unreliable in the event of a non-state nuclear attack. Absent unambiguous and incontrovertible evidence to the contrary, an unprovoked non-state attack may compound mutual suspicions about the other side’s intentions and behavior, and in turn, confirm worst-case scenario assessments.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26</w:t>
      </w:r>
    </w:p>
    <w:p>
      <w:pPr>
        <w:pStyle w:val="Caption"/>
      </w:pPr>
      <w:r>
        <w:t>Source: E Commerce Aff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