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Congress is better – it creates a clear, predictable standard – court rulings are limited to facts of </w:t>
      </w:r>
      <w:r>
        <w:rPr>
          <w:b/>
          <w:i w:val="0"/>
          <w:smallCaps w:val="0"/>
          <w:strike w:val="0"/>
          <w:sz w:val="26"/>
          <w:u w:val="none"/>
        </w:rPr>
        <w:t>particular cases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>Haodi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/>
          <w:i w:val="0"/>
          <w:smallCaps w:val="0"/>
          <w:strike w:val="0"/>
          <w:sz w:val="26"/>
          <w:u w:val="none"/>
        </w:rPr>
        <w:t>Dong</w:t>
      </w:r>
      <w:r>
        <w:rPr>
          <w:b w:val="0"/>
          <w:i w:val="0"/>
          <w:smallCaps w:val="0"/>
          <w:strike w:val="0"/>
          <w:u w:val="none"/>
        </w:rPr>
        <w:t>, 20</w:t>
      </w:r>
      <w:r>
        <w:rPr>
          <w:b/>
          <w:i w:val="0"/>
          <w:smallCaps w:val="0"/>
          <w:strike w:val="0"/>
          <w:sz w:val="26"/>
          <w:u w:val="none"/>
        </w:rPr>
        <w:t>22</w:t>
      </w:r>
      <w:r>
        <w:rPr>
          <w:b w:val="0"/>
          <w:i w:val="0"/>
          <w:smallCaps w:val="0"/>
          <w:strike w:val="0"/>
          <w:u w:val="none"/>
        </w:rPr>
        <w:t xml:space="preserve"> - J.D., 2022, Wake Forest University School of Law. “BALANCING THE INTERESTS OF TRADEMARK OWNERS AND E-COMMERCE PLATFORMS DURING THE INTERNET AGE” Wake Forest Journal of Business &amp; Intellectual Property Law, Spring, </w:t>
      </w:r>
      <w:r>
        <w:rPr>
          <w:b w:val="0"/>
          <w:i w:val="0"/>
          <w:smallCaps w:val="0"/>
          <w:strike w:val="0"/>
          <w:u w:val="none"/>
        </w:rPr>
        <w:t xml:space="preserve"> //DH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Despite the opportunity for judicial action,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trademark owners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ecommerce platforms’ interests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would</w:t>
      </w:r>
      <w:r>
        <w:rPr>
          <w:b w:val="0"/>
          <w:i w:val="0"/>
          <w:smallCaps w:val="0"/>
          <w:strike w:val="0"/>
          <w:u w:val="none"/>
        </w:rPr>
        <w:t xml:space="preserve"> ultimately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be better served by Congress</w:t>
      </w:r>
      <w:r>
        <w:rPr>
          <w:b w:val="0"/>
          <w:i w:val="0"/>
          <w:smallCaps w:val="0"/>
          <w:strike w:val="0"/>
          <w:sz w:val="22"/>
          <w:u w:val="single"/>
        </w:rPr>
        <w:t>ional actions.</w:t>
      </w:r>
      <w:r>
        <w:rPr>
          <w:b w:val="0"/>
          <w:i w:val="0"/>
          <w:smallCaps w:val="0"/>
          <w:strike w:val="0"/>
          <w:u w:val="none"/>
        </w:rPr>
        <w:t xml:space="preserve"> Additionally, Congressional actions would fall in line with the purposes of trademark law to provide a national system that protects the owner of a federally registered mark.183 This is true for multiple reasons. First,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it is unlikely that the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Supreme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Court will adopt any standard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or test that would be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clearer and more instructive than specific legislation because of the inherent limitation of a judicial ruling that it will only entertain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scope and facts for the specific issues presented by a particular case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u w:val="none"/>
        </w:rPr>
        <w:t xml:space="preserve"> Moreover, as with most common law doctrines not rooted in specific legislation,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even if the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Supreme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Court clarifies the Inwood test, different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standards or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interpretations would still likely appear in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district and circuit courts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across the country</w:t>
      </w:r>
      <w:r>
        <w:rPr>
          <w:b w:val="0"/>
          <w:i w:val="0"/>
          <w:smallCaps w:val="0"/>
          <w:strike w:val="0"/>
          <w:u w:val="none"/>
        </w:rPr>
        <w:t xml:space="preserve">. Therefore, out of all the possible solutions proposed above,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amending the Lanham Act with a safe harbor provision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similar to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section 512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the Copyright Act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would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likely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serve the interests of trademark owners and e-commerce platforms most effectively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pStyle w:val="Caption"/>
      </w:pPr>
      <w:r>
        <w:t>Source: E Commerce Aff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