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</w:t>
      </w:r>
      <w:r>
        <w:rPr>
          <w:b/>
          <w:i w:val="0"/>
          <w:smallCaps w:val="0"/>
          <w:strike w:val="0"/>
          <w:sz w:val="26"/>
          <w:u w:val="none"/>
        </w:rPr>
        <w:t>has to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codify</w:t>
      </w:r>
      <w:r>
        <w:rPr>
          <w:b/>
          <w:i w:val="0"/>
          <w:smallCaps w:val="0"/>
          <w:strike w:val="0"/>
          <w:sz w:val="26"/>
          <w:u w:val="none"/>
        </w:rPr>
        <w:t xml:space="preserve"> a knowledge requirement – otherwise, </w:t>
      </w:r>
      <w:r>
        <w:rPr>
          <w:b/>
          <w:i w:val="0"/>
          <w:smallCaps w:val="0"/>
          <w:strike w:val="0"/>
          <w:sz w:val="26"/>
          <w:u w:val="single"/>
        </w:rPr>
        <w:t>subsequent court interpretation</w:t>
      </w:r>
      <w:r>
        <w:rPr>
          <w:b/>
          <w:i w:val="0"/>
          <w:smallCaps w:val="0"/>
          <w:strike w:val="0"/>
          <w:sz w:val="26"/>
          <w:u w:val="none"/>
        </w:rPr>
        <w:t xml:space="preserve"> will make it impossible to enforce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Gina </w:t>
      </w:r>
      <w:r>
        <w:rPr>
          <w:b/>
          <w:i w:val="0"/>
          <w:smallCaps w:val="0"/>
          <w:strike w:val="0"/>
          <w:sz w:val="26"/>
          <w:u w:val="none"/>
        </w:rPr>
        <w:t>Boone,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J.D. Candidate, Fordham University School of Law, 2022; M.P.S., Public Relations and Corporate Communications, Georgetown University, “Designing Dupes: A Legislative Proposal for Holding Online Marketplaces Contributorily Liable for Counterfeit Goods”, 31 FORDHAM INTELL. PROP. MEDIA &amp; ENT. L.J. 1302 (2021). Hein Online,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Legislation regarding contributory liability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online marketplaces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should address Tiffany's knowledge requirement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not new to interpreting existing law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</w:t>
      </w:r>
      <w:r>
        <w:rPr>
          <w:b w:val="0"/>
          <w:i w:val="0"/>
          <w:smallCaps w:val="0"/>
          <w:strike w:val="0"/>
          <w:u w:val="non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heightened standards into statutes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when they are not explicitly addressed</w:t>
      </w:r>
      <w:r>
        <w:rPr>
          <w:b w:val="0"/>
          <w:i w:val="0"/>
          <w:smallCaps w:val="0"/>
          <w:strike w:val="0"/>
          <w:u w:val="none"/>
        </w:rPr>
        <w:t>. For example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Congress codified the willful infringement standard in</w:t>
      </w:r>
      <w:r>
        <w:rPr>
          <w:b w:val="0"/>
          <w:i w:val="0"/>
          <w:smallCaps w:val="0"/>
          <w:strike w:val="0"/>
          <w:u w:val="none"/>
        </w:rPr>
        <w:t xml:space="preserve"> 3</w:t>
      </w:r>
      <w:r>
        <w:rPr>
          <w:b w:val="0"/>
          <w:i w:val="0"/>
          <w:smallCaps w:val="0"/>
          <w:strike w:val="0"/>
          <w:u w:val="none"/>
        </w:rPr>
        <w:t xml:space="preserve">5 U.S.C. § 298 when it enacted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2012 </w:t>
      </w:r>
      <w:r>
        <w:rPr>
          <w:b w:val="0"/>
          <w:i w:val="0"/>
          <w:smallCaps w:val="0"/>
          <w:strike w:val="0"/>
          <w:sz w:val="22"/>
          <w:u w:val="single"/>
        </w:rPr>
        <w:t>American Invents Act</w:t>
      </w:r>
      <w:r>
        <w:rPr>
          <w:b w:val="0"/>
          <w:i w:val="0"/>
          <w:smallCaps w:val="0"/>
          <w:strike w:val="0"/>
          <w:u w:val="none"/>
        </w:rPr>
        <w:t xml:space="preserve"> ("AIA").218 </w:t>
      </w:r>
      <w:r>
        <w:rPr>
          <w:b w:val="0"/>
          <w:i w:val="0"/>
          <w:smallCaps w:val="0"/>
          <w:strike w:val="0"/>
          <w:sz w:val="22"/>
          <w:u w:val="single"/>
        </w:rPr>
        <w:t>Courts have changed this standard over the years by first applying a two-prong "objectively reckless" standard</w:t>
      </w:r>
      <w:r>
        <w:rPr>
          <w:b w:val="0"/>
          <w:i w:val="0"/>
          <w:smallCaps w:val="0"/>
          <w:strike w:val="0"/>
          <w:u w:val="none"/>
        </w:rPr>
        <w:t xml:space="preserve">,219 </w:t>
      </w:r>
      <w:r>
        <w:rPr>
          <w:b w:val="0"/>
          <w:i w:val="0"/>
          <w:smallCaps w:val="0"/>
          <w:strike w:val="0"/>
          <w:sz w:val="22"/>
          <w:u w:val="single"/>
        </w:rPr>
        <w:t>to declining an imposition of an affirmative obligation to obtain outside counsel</w:t>
      </w:r>
      <w:r>
        <w:rPr>
          <w:b w:val="0"/>
          <w:i w:val="0"/>
          <w:smallCaps w:val="0"/>
          <w:strike w:val="0"/>
          <w:u w:val="none"/>
        </w:rPr>
        <w:t xml:space="preserve">, 220 only later to agree the opinion of counsel may be relevant. 221 The latest discussion from courts for determining willfulness is changing the standard from a question of law to de novo review. 222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new legislation does not address the Tiffany knowledge standard</w:t>
      </w:r>
      <w:r>
        <w:rPr>
          <w:b w:val="0"/>
          <w:i w:val="0"/>
          <w:smallCaps w:val="0"/>
          <w:strike w:val="0"/>
          <w:u w:val="none"/>
        </w:rPr>
        <w:t xml:space="preserve">, there is a chance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courts may react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similarly for contributory trademark liability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determining a knowledge requirement is necessary</w:t>
      </w:r>
      <w:r>
        <w:rPr>
          <w:b w:val="0"/>
          <w:i w:val="0"/>
          <w:smallCaps w:val="0"/>
          <w:strike w:val="0"/>
          <w:u w:val="none"/>
        </w:rPr>
        <w:t xml:space="preserve">. As a result,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rightsholders would be unable to meet the heightened standards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