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Legislation is vital to reducing compliance uncertainty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Irene </w:t>
      </w:r>
      <w:r>
        <w:rPr>
          <w:b/>
          <w:i w:val="0"/>
          <w:smallCaps w:val="0"/>
          <w:strike w:val="0"/>
          <w:sz w:val="26"/>
          <w:u w:val="none"/>
        </w:rPr>
        <w:t>Calboli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16</w:t>
      </w:r>
      <w:r>
        <w:rPr>
          <w:b w:val="0"/>
          <w:i w:val="0"/>
          <w:smallCaps w:val="0"/>
          <w:strike w:val="0"/>
          <w:u w:val="none"/>
        </w:rPr>
        <w:t xml:space="preserve"> - Professor of Law at Texas A&amp;M University School of Law, Academic Fellow at the University of Geneva, and Visiting Professor at Nanyang Technological University “Contributory Trademark Infringement on the Internet: Shouldn't Intermediaries Finally Know What They Need to "Know" and "Control?", in RESEARCH HANDBOOK ON ELECTRONIC COMMERCE LAW, Elgar Online.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the flexibility of a common law approach leaves the courts greater discretion in adapting the judicial precedents to the facts at issue, the </w:t>
      </w:r>
      <w:r>
        <w:rPr>
          <w:b w:val="0"/>
          <w:i w:val="0"/>
          <w:smallCaps w:val="0"/>
          <w:strike w:val="0"/>
          <w:sz w:val="22"/>
          <w:u w:val="single"/>
        </w:rPr>
        <w:t>uncertainty</w:t>
      </w:r>
      <w:r>
        <w:rPr>
          <w:b w:val="0"/>
          <w:i w:val="0"/>
          <w:smallCaps w:val="0"/>
          <w:strike w:val="0"/>
          <w:u w:val="none"/>
        </w:rPr>
        <w:t xml:space="preserve"> in this area </w:t>
      </w:r>
      <w:r>
        <w:rPr>
          <w:b w:val="0"/>
          <w:i w:val="0"/>
          <w:smallCaps w:val="0"/>
          <w:strike w:val="0"/>
          <w:sz w:val="22"/>
          <w:u w:val="single"/>
        </w:rPr>
        <w:t>could</w:t>
      </w:r>
      <w:r>
        <w:rPr>
          <w:b w:val="0"/>
          <w:i w:val="0"/>
          <w:smallCaps w:val="0"/>
          <w:strike w:val="0"/>
          <w:u w:val="none"/>
        </w:rPr>
        <w:t xml:space="preserve"> perhaps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 </w:t>
      </w:r>
      <w:r>
        <w:rPr>
          <w:b/>
          <w:i w:val="0"/>
          <w:smallCaps w:val="0"/>
          <w:strike w:val="0"/>
          <w:sz w:val="22"/>
          <w:u w:val="single"/>
        </w:rPr>
        <w:t>best resolved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adopting a legislative amendment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u w:val="none"/>
        </w:rPr>
        <w:t xml:space="preserve">amendment </w:t>
      </w:r>
      <w:r>
        <w:rPr>
          <w:b w:val="0"/>
          <w:i w:val="0"/>
          <w:smallCaps w:val="0"/>
          <w:strike w:val="0"/>
          <w:sz w:val="22"/>
          <w:u w:val="single"/>
        </w:rPr>
        <w:t>would introduce contributory trademark infringement as a statutory action for infringement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the Lanham Ac</w:t>
      </w:r>
      <w:r>
        <w:rPr>
          <w:b w:val="0"/>
          <w:i w:val="0"/>
          <w:smallCaps w:val="0"/>
          <w:strike w:val="0"/>
          <w:u w:val="none"/>
        </w:rPr>
        <w:t xml:space="preserve">t, but it would also elaborate on the definition of the relevant elements necessary to assess this type of liability. Notably,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u w:val="none"/>
        </w:rPr>
        <w:t xml:space="preserve"> amendment </w:t>
      </w:r>
      <w:r>
        <w:rPr>
          <w:b w:val="0"/>
          <w:i w:val="0"/>
          <w:smallCaps w:val="0"/>
          <w:strike w:val="0"/>
          <w:sz w:val="22"/>
          <w:u w:val="single"/>
        </w:rPr>
        <w:t>should include</w:t>
      </w:r>
      <w:r>
        <w:rPr>
          <w:b w:val="0"/>
          <w:i w:val="0"/>
          <w:smallCaps w:val="0"/>
          <w:strike w:val="0"/>
          <w:u w:val="none"/>
        </w:rPr>
        <w:t xml:space="preserve"> detailed </w:t>
      </w:r>
      <w:r>
        <w:rPr>
          <w:b w:val="0"/>
          <w:i w:val="0"/>
          <w:smallCaps w:val="0"/>
          <w:strike w:val="0"/>
          <w:sz w:val="22"/>
          <w:u w:val="single"/>
        </w:rPr>
        <w:t>definitions of “knowledge</w:t>
      </w:r>
      <w:r>
        <w:rPr>
          <w:b w:val="0"/>
          <w:i w:val="0"/>
          <w:smallCaps w:val="0"/>
          <w:strike w:val="0"/>
          <w:u w:val="none"/>
        </w:rPr>
        <w:t xml:space="preserve">,” “control,” “willful blindness,” </w:t>
      </w:r>
      <w:r>
        <w:rPr>
          <w:b w:val="0"/>
          <w:i w:val="0"/>
          <w:smallCaps w:val="0"/>
          <w:strike w:val="0"/>
          <w:sz w:val="22"/>
          <w:u w:val="single"/>
        </w:rPr>
        <w:t>and any related concepts that could be relevant to assess a claim for contributory infringement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an amendment should also include a provision detailing the exceptions </w:t>
      </w:r>
      <w:r>
        <w:rPr>
          <w:b w:val="0"/>
          <w:i w:val="0"/>
          <w:smallCaps w:val="0"/>
          <w:strike w:val="0"/>
          <w:u w:val="none"/>
        </w:rPr>
        <w:t xml:space="preserve">and limitations </w:t>
      </w:r>
      <w:r>
        <w:rPr>
          <w:b w:val="0"/>
          <w:i w:val="0"/>
          <w:smallCaps w:val="0"/>
          <w:strike w:val="0"/>
          <w:sz w:val="22"/>
          <w:u w:val="single"/>
        </w:rPr>
        <w:t>to contributory infringement</w:t>
      </w:r>
      <w:r>
        <w:rPr>
          <w:b w:val="0"/>
          <w:i w:val="0"/>
          <w:smallCaps w:val="0"/>
          <w:strike w:val="0"/>
          <w:u w:val="none"/>
        </w:rPr>
        <w:t xml:space="preserve">.161 Finally, as part of this amendment, </w:t>
      </w:r>
      <w:r>
        <w:rPr>
          <w:b w:val="0"/>
          <w:i w:val="0"/>
          <w:smallCaps w:val="0"/>
          <w:strike w:val="0"/>
          <w:sz w:val="22"/>
          <w:u w:val="single"/>
        </w:rPr>
        <w:t>Congress should</w:t>
      </w:r>
      <w:r>
        <w:rPr>
          <w:b w:val="0"/>
          <w:i w:val="0"/>
          <w:smallCaps w:val="0"/>
          <w:strike w:val="0"/>
          <w:u w:val="none"/>
        </w:rPr>
        <w:t xml:space="preserve"> also consider </w:t>
      </w:r>
      <w:r>
        <w:rPr>
          <w:b w:val="0"/>
          <w:i w:val="0"/>
          <w:smallCaps w:val="0"/>
          <w:strike w:val="0"/>
          <w:sz w:val="22"/>
          <w:u w:val="single"/>
        </w:rPr>
        <w:t>introduc</w:t>
      </w:r>
      <w:r>
        <w:rPr>
          <w:b w:val="0"/>
          <w:i w:val="0"/>
          <w:smallCaps w:val="0"/>
          <w:strike w:val="0"/>
          <w:u w:val="non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“safe harbor” provision for intermediaries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part the Lanham Act. This</w:t>
      </w:r>
      <w:r>
        <w:rPr>
          <w:b w:val="0"/>
          <w:i w:val="0"/>
          <w:smallCaps w:val="0"/>
          <w:strike w:val="0"/>
          <w:u w:val="none"/>
        </w:rPr>
        <w:t xml:space="preserve"> provision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 be modelled after the safe harbor provision that was adopted as part of the</w:t>
      </w:r>
      <w:r>
        <w:rPr>
          <w:b w:val="0"/>
          <w:i w:val="0"/>
          <w:smallCaps w:val="0"/>
          <w:strike w:val="0"/>
          <w:u w:val="none"/>
        </w:rPr>
        <w:t xml:space="preserve"> Digital Millennium Copyright Act </w:t>
      </w:r>
      <w:r>
        <w:rPr>
          <w:b w:val="0"/>
          <w:i w:val="0"/>
          <w:smallCaps w:val="0"/>
          <w:strike w:val="0"/>
          <w:highlight w:val="cyan"/>
          <w:u w:val="none"/>
        </w:rPr>
        <w:t>(“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DMCA</w:t>
      </w:r>
      <w:r>
        <w:rPr>
          <w:b w:val="0"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u w:val="none"/>
        </w:rPr>
        <w:t>)</w:t>
      </w:r>
      <w:r>
        <w:rPr>
          <w:b w:val="0"/>
          <w:i w:val="0"/>
          <w:smallCaps w:val="0"/>
          <w:strike w:val="0"/>
          <w:u w:val="none"/>
        </w:rPr>
        <w:t xml:space="preserve">.162 In particular, </w:t>
      </w:r>
      <w:r>
        <w:rPr>
          <w:b w:val="0"/>
          <w:i w:val="0"/>
          <w:smallCaps w:val="0"/>
          <w:strike w:val="0"/>
          <w:sz w:val="22"/>
          <w:u w:val="single"/>
        </w:rPr>
        <w:t>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should detail the measures that intermediaries should observe, or create a system of “notice-and-takedown” that intermediaries could implement to avoid claims of contributory trademark infringement</w:t>
      </w:r>
      <w:r>
        <w:rPr>
          <w:b w:val="0"/>
          <w:i w:val="0"/>
          <w:smallCaps w:val="0"/>
          <w:strike w:val="0"/>
          <w:u w:val="none"/>
        </w:rPr>
        <w:t xml:space="preserve">. Even though the DMCA, and the safe harbor provision, have been criticized,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safe harbor provision represents an important mechanism for intermediaries to prove compliance with the DMCA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thus likely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exclude copyright infringement</w:t>
      </w:r>
      <w:r>
        <w:rPr>
          <w:b w:val="0"/>
          <w:i w:val="0"/>
          <w:smallCaps w:val="0"/>
          <w:strike w:val="0"/>
          <w:u w:val="none"/>
        </w:rPr>
        <w:t xml:space="preserve">.163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Introducing a similar provision into the Lanham Act could offer intermediaries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greater level of certainty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conducting their activities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from a contributory trademark liability perspective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