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Courts </w:t>
      </w:r>
      <w:r>
        <w:rPr>
          <w:b/>
          <w:i w:val="0"/>
          <w:smallCaps w:val="0"/>
          <w:strike w:val="0"/>
          <w:sz w:val="26"/>
          <w:u w:val="none"/>
        </w:rPr>
        <w:t>can apply contributory liability to trademark law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Irene </w:t>
      </w:r>
      <w:r>
        <w:rPr>
          <w:b/>
          <w:i w:val="0"/>
          <w:smallCaps w:val="0"/>
          <w:strike w:val="0"/>
          <w:sz w:val="26"/>
          <w:u w:val="none"/>
        </w:rPr>
        <w:t>Calboli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16</w:t>
      </w:r>
      <w:r>
        <w:rPr>
          <w:b w:val="0"/>
          <w:i w:val="0"/>
          <w:smallCaps w:val="0"/>
          <w:strike w:val="0"/>
          <w:u w:val="none"/>
        </w:rPr>
        <w:t xml:space="preserve"> - Professor of Law at Texas A&amp;M University School of Law, Academic Fellow at the University of Geneva, and Visiting Professor at Nanyang Technological University “Contributory Trademark Infringement on the Internet: Shouldn't Intermediaries Finally Know What They Need to "Know" and "Control?", in RESEARCH HANDBOOK ON ELECTRONIC COMMERCE LAW, Elgar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Accordingly, </w:t>
      </w:r>
      <w:r>
        <w:rPr>
          <w:b w:val="0"/>
          <w:i w:val="0"/>
          <w:smallCaps w:val="0"/>
          <w:strike w:val="0"/>
          <w:sz w:val="22"/>
          <w:u w:val="single"/>
        </w:rPr>
        <w:t>even though it may be difficult to craft rules that would fully satisfy the need for certainty</w:t>
      </w:r>
      <w:r>
        <w:rPr>
          <w:b w:val="0"/>
          <w:i w:val="0"/>
          <w:smallCaps w:val="0"/>
          <w:strike w:val="0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courts should at least clarify the interpretation of the existing standards for contributory trademark liability, or explicitly adopt</w:t>
      </w:r>
      <w:r>
        <w:rPr>
          <w:b w:val="0"/>
          <w:i w:val="0"/>
          <w:smallCaps w:val="0"/>
          <w:strike w:val="0"/>
          <w:u w:val="none"/>
        </w:rPr>
        <w:t xml:space="preserve"> and elaborate on </w:t>
      </w:r>
      <w:r>
        <w:rPr>
          <w:b w:val="0"/>
          <w:i w:val="0"/>
          <w:smallCaps w:val="0"/>
          <w:strike w:val="0"/>
          <w:sz w:val="22"/>
          <w:u w:val="single"/>
        </w:rPr>
        <w:t>a new</w:t>
      </w:r>
      <w:r>
        <w:rPr>
          <w:b w:val="0"/>
          <w:i w:val="0"/>
          <w:smallCaps w:val="0"/>
          <w:strike w:val="0"/>
          <w:u w:val="none"/>
        </w:rPr>
        <w:t xml:space="preserve"> ad hoc </w:t>
      </w:r>
      <w:r>
        <w:rPr>
          <w:b w:val="0"/>
          <w:i w:val="0"/>
          <w:smallCaps w:val="0"/>
          <w:strike w:val="0"/>
          <w:sz w:val="22"/>
          <w:u w:val="single"/>
        </w:rPr>
        <w:t>standard</w:t>
      </w:r>
      <w:r>
        <w:rPr>
          <w:b w:val="0"/>
          <w:i w:val="0"/>
          <w:smallCaps w:val="0"/>
          <w:strike w:val="0"/>
          <w:u w:val="none"/>
        </w:rPr>
        <w:t xml:space="preserve"> in this area. At a minimum, </w:t>
      </w:r>
      <w:r>
        <w:rPr>
          <w:b w:val="0"/>
          <w:i w:val="0"/>
          <w:smallCaps w:val="0"/>
          <w:strike w:val="0"/>
          <w:sz w:val="22"/>
          <w:u w:val="single"/>
        </w:rPr>
        <w:t>courts could clarify and give specific instructions as to what measures intermediaries could take to avoid liability, and to what extent intermediaries should police the marketplaces.</w:t>
      </w:r>
      <w:r>
        <w:rPr>
          <w:b w:val="0"/>
          <w:i w:val="0"/>
          <w:smallCaps w:val="0"/>
          <w:strike w:val="0"/>
          <w:u w:val="none"/>
        </w:rPr>
        <w:t xml:space="preserve">154 Perhaps </w:t>
      </w:r>
      <w:r>
        <w:rPr>
          <w:b w:val="0"/>
          <w:i w:val="0"/>
          <w:smallCaps w:val="0"/>
          <w:strike w:val="0"/>
          <w:sz w:val="22"/>
          <w:u w:val="single"/>
        </w:rPr>
        <w:t>the Supreme Court could again grant cert</w:t>
      </w:r>
      <w:r>
        <w:rPr>
          <w:b w:val="0"/>
          <w:i w:val="0"/>
          <w:smallCaps w:val="0"/>
          <w:strike w:val="0"/>
          <w:u w:val="none"/>
        </w:rPr>
        <w:t xml:space="preserve">iorari </w:t>
      </w:r>
      <w:r>
        <w:rPr>
          <w:b w:val="0"/>
          <w:i w:val="0"/>
          <w:smallCaps w:val="0"/>
          <w:strike w:val="0"/>
          <w:sz w:val="22"/>
          <w:u w:val="single"/>
        </w:rPr>
        <w:t>in a case related to contributory trademark infringement and further clarify its previous ruling</w:t>
      </w:r>
      <w:r>
        <w:rPr>
          <w:b w:val="0"/>
          <w:i w:val="0"/>
          <w:smallCaps w:val="0"/>
          <w:strike w:val="0"/>
          <w:u w:val="none"/>
        </w:rPr>
        <w:t xml:space="preserve"> in Inwood.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