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Applying a constructive knowledge standard to contributory trademark liability for online commerce would force online marketplaces to take a </w:t>
      </w:r>
      <w:r>
        <w:rPr>
          <w:b/>
          <w:i w:val="0"/>
          <w:smallCaps w:val="0"/>
          <w:strike w:val="0"/>
          <w:sz w:val="26"/>
          <w:u w:val="single"/>
        </w:rPr>
        <w:t>proactive</w:t>
      </w:r>
      <w:r>
        <w:rPr>
          <w:b/>
          <w:i w:val="0"/>
          <w:smallCaps w:val="0"/>
          <w:strike w:val="0"/>
          <w:sz w:val="26"/>
          <w:u w:val="none"/>
        </w:rPr>
        <w:t xml:space="preserve"> approach in addressing counterfeiting</w:t>
      </w:r>
    </w:p>
    <w:p>
      <w:pPr>
        <w:spacing w:after="80"/>
      </w:pPr>
      <w:r>
        <w:rPr>
          <w:b w:val="0"/>
          <w:i w:val="0"/>
          <w:smallCaps w:val="0"/>
          <w:strike w:val="0"/>
          <w:u w:val="none"/>
        </w:rPr>
        <w:t xml:space="preserve">Hayley </w:t>
      </w:r>
      <w:r>
        <w:rPr>
          <w:b/>
          <w:i w:val="0"/>
          <w:smallCaps w:val="0"/>
          <w:strike w:val="0"/>
          <w:sz w:val="26"/>
          <w:u w:val="none"/>
        </w:rPr>
        <w:t>Dunn</w:t>
      </w:r>
      <w:r>
        <w:rPr>
          <w:b w:val="0"/>
          <w:i w:val="0"/>
          <w:smallCaps w:val="0"/>
          <w:strike w:val="0"/>
          <w:u w:val="none"/>
        </w:rPr>
        <w:t>, 20</w:t>
      </w:r>
      <w:r>
        <w:rPr>
          <w:b/>
          <w:i w:val="0"/>
          <w:smallCaps w:val="0"/>
          <w:strike w:val="0"/>
          <w:sz w:val="26"/>
          <w:u w:val="none"/>
        </w:rPr>
        <w:t>21</w:t>
      </w:r>
      <w:r>
        <w:rPr>
          <w:b w:val="0"/>
          <w:i w:val="0"/>
          <w:smallCaps w:val="0"/>
          <w:strike w:val="0"/>
          <w:u w:val="none"/>
        </w:rPr>
        <w:t xml:space="preserve"> - Maryland licensed attorney who holds a J.D., cum laude, from the Catholic University of America, Columbus School of Law.  At time of writing, served as a judicial law clerk to the Honorable Laura S. Ripken of the Court of Special Appeals of Maryland. “What's in Your Box? Removing the Tiffany Standard of Knowledge in Online Marketplaces,” 29 Cath. U. J. L. &amp; Tech 91 (2021). Available at: </w:t>
      </w:r>
      <w:r>
        <w:rPr>
          <w:b w:val="0"/>
          <w:i w:val="0"/>
          <w:smallCaps w:val="0"/>
          <w:strike w:val="0"/>
          <w:u w:val="none"/>
        </w:rPr>
        <w:t xml:space="preserve">  //DH</w:t>
      </w:r>
    </w:p>
    <w:p>
      <w:pPr>
        <w:spacing w:after="60"/>
      </w:pPr>
      <w:r>
        <w:rPr>
          <w:b w:val="0"/>
          <w:i w:val="0"/>
          <w:smallCaps w:val="0"/>
          <w:strike w:val="0"/>
          <w:u w:val="none"/>
        </w:rPr>
        <w:t xml:space="preserve">An alternative to such a broad approach would be to create a statute to overturn Tiffany, requiring the high standard of specific knowledge of </w:t>
      </w:r>
      <w:r>
        <w:rPr>
          <w:b w:val="0"/>
          <w:i w:val="0"/>
          <w:smallCaps w:val="0"/>
          <w:strike w:val="0"/>
          <w:u w:val="none"/>
        </w:rPr>
        <w:t>particular online</w:t>
      </w:r>
      <w:r>
        <w:rPr>
          <w:b w:val="0"/>
          <w:i w:val="0"/>
          <w:smallCaps w:val="0"/>
          <w:strike w:val="0"/>
          <w:u w:val="none"/>
        </w:rPr>
        <w:t xml:space="preserve"> infringements.279 In particular, the knowledge standard for contributory liability must be modified so brand owners can recover. </w:t>
      </w:r>
      <w:r>
        <w:rPr>
          <w:b w:val="0"/>
          <w:i w:val="0"/>
          <w:smallCaps w:val="0"/>
          <w:strike w:val="0"/>
          <w:sz w:val="22"/>
          <w:highlight w:val="cyan"/>
          <w:u w:val="single"/>
        </w:rPr>
        <w:t xml:space="preserve">Rather than </w:t>
      </w:r>
      <w:r>
        <w:rPr>
          <w:b w:val="0"/>
          <w:i w:val="0"/>
          <w:smallCaps w:val="0"/>
          <w:strike w:val="0"/>
          <w:sz w:val="22"/>
          <w:highlight w:val="cyan"/>
          <w:u w:val="single"/>
        </w:rPr>
        <w:t>saying there must</w:t>
      </w:r>
      <w:r>
        <w:rPr>
          <w:b w:val="0"/>
          <w:i w:val="0"/>
          <w:smallCaps w:val="0"/>
          <w:strike w:val="0"/>
          <w:sz w:val="22"/>
          <w:u w:val="single"/>
        </w:rPr>
        <w:t xml:space="preserve"> be more than </w:t>
      </w:r>
      <w:r>
        <w:rPr>
          <w:b w:val="0"/>
          <w:i w:val="0"/>
          <w:smallCaps w:val="0"/>
          <w:strike w:val="0"/>
          <w:sz w:val="22"/>
          <w:highlight w:val="cyan"/>
          <w:u w:val="single"/>
        </w:rPr>
        <w:t>“general knowledge” of infringement for a company to be liable, Congress could</w:t>
      </w:r>
      <w:r>
        <w:rPr>
          <w:b w:val="0"/>
          <w:i w:val="0"/>
          <w:smallCaps w:val="0"/>
          <w:strike w:val="0"/>
          <w:u w:val="none"/>
        </w:rPr>
        <w:t xml:space="preserve"> draft a statute to establish clear factors for willful blindness. It could </w:t>
      </w:r>
      <w:r>
        <w:rPr>
          <w:b w:val="0"/>
          <w:i w:val="0"/>
          <w:smallCaps w:val="0"/>
          <w:strike w:val="0"/>
          <w:sz w:val="22"/>
          <w:highlight w:val="cyan"/>
          <w:u w:val="single"/>
        </w:rPr>
        <w:t xml:space="preserve">clarify that once an online marketplace has been notified </w:t>
      </w:r>
      <w:r>
        <w:rPr>
          <w:b w:val="0"/>
          <w:i w:val="0"/>
          <w:smallCaps w:val="0"/>
          <w:strike w:val="0"/>
          <w:sz w:val="22"/>
          <w:highlight w:val="cyan"/>
          <w:u w:val="single"/>
        </w:rPr>
        <w:t>of</w:t>
      </w:r>
      <w:r>
        <w:rPr>
          <w:b w:val="0"/>
          <w:i w:val="0"/>
          <w:smallCaps w:val="0"/>
          <w:strike w:val="0"/>
          <w:sz w:val="22"/>
          <w:u w:val="single"/>
        </w:rPr>
        <w:t xml:space="preserve"> a certain </w:t>
      </w:r>
      <w:r>
        <w:rPr>
          <w:b w:val="0"/>
          <w:i w:val="0"/>
          <w:smallCaps w:val="0"/>
          <w:strike w:val="0"/>
          <w:sz w:val="22"/>
          <w:u w:val="single"/>
        </w:rPr>
        <w:t>amount</w:t>
      </w:r>
      <w:r>
        <w:rPr>
          <w:b w:val="0"/>
          <w:i w:val="0"/>
          <w:smallCaps w:val="0"/>
          <w:strike w:val="0"/>
          <w:sz w:val="22"/>
          <w:u w:val="single"/>
        </w:rPr>
        <w:t xml:space="preserve"> of </w:t>
      </w:r>
      <w:r>
        <w:rPr>
          <w:b w:val="0"/>
          <w:i w:val="0"/>
          <w:smallCaps w:val="0"/>
          <w:strike w:val="0"/>
          <w:sz w:val="22"/>
          <w:highlight w:val="cyan"/>
          <w:u w:val="single"/>
        </w:rPr>
        <w:t>infringements for a particular brand,</w:t>
      </w:r>
      <w:r>
        <w:rPr>
          <w:b w:val="0"/>
          <w:i w:val="0"/>
          <w:smallCaps w:val="0"/>
          <w:strike w:val="0"/>
          <w:sz w:val="22"/>
          <w:u w:val="single"/>
        </w:rPr>
        <w:t xml:space="preserve"> </w:t>
      </w:r>
      <w:r>
        <w:rPr>
          <w:b w:val="0"/>
          <w:i w:val="0"/>
          <w:smallCaps w:val="0"/>
          <w:strike w:val="0"/>
          <w:sz w:val="22"/>
          <w:highlight w:val="cyan"/>
          <w:u w:val="single"/>
        </w:rPr>
        <w:t xml:space="preserve">they have been </w:t>
      </w:r>
      <w:r>
        <w:rPr>
          <w:b/>
          <w:i w:val="0"/>
          <w:smallCaps w:val="0"/>
          <w:strike w:val="0"/>
          <w:sz w:val="22"/>
          <w:highlight w:val="cyan"/>
          <w:u w:val="single"/>
        </w:rPr>
        <w:t>put on notice</w:t>
      </w:r>
      <w:r>
        <w:rPr>
          <w:b w:val="0"/>
          <w:i w:val="0"/>
          <w:smallCaps w:val="0"/>
          <w:strike w:val="0"/>
          <w:sz w:val="22"/>
          <w:u w:val="single"/>
        </w:rPr>
        <w:t xml:space="preserve"> </w:t>
      </w:r>
      <w:r>
        <w:rPr>
          <w:b w:val="0"/>
          <w:i w:val="0"/>
          <w:smallCaps w:val="0"/>
          <w:strike w:val="0"/>
          <w:sz w:val="22"/>
          <w:highlight w:val="cyan"/>
          <w:u w:val="single"/>
        </w:rPr>
        <w:t>to address subsequent listings from the same brand</w:t>
      </w:r>
      <w:r>
        <w:rPr>
          <w:b w:val="0"/>
          <w:i w:val="0"/>
          <w:smallCaps w:val="0"/>
          <w:strike w:val="0"/>
          <w:u w:val="none"/>
        </w:rPr>
        <w:t xml:space="preserve">. </w:t>
      </w:r>
      <w:r>
        <w:rPr>
          <w:b w:val="0"/>
          <w:i w:val="0"/>
          <w:smallCaps w:val="0"/>
          <w:strike w:val="0"/>
          <w:sz w:val="22"/>
          <w:highlight w:val="cyan"/>
          <w:u w:val="single"/>
        </w:rPr>
        <w:t xml:space="preserve">Willful blindness has been established as </w:t>
      </w:r>
      <w:r>
        <w:rPr>
          <w:b/>
          <w:i w:val="0"/>
          <w:smallCaps w:val="0"/>
          <w:strike w:val="0"/>
          <w:sz w:val="22"/>
          <w:highlight w:val="cyan"/>
          <w:u w:val="single"/>
        </w:rPr>
        <w:t>constructive knowledge</w:t>
      </w:r>
      <w:r>
        <w:rPr>
          <w:b w:val="0"/>
          <w:i w:val="0"/>
          <w:smallCaps w:val="0"/>
          <w:strike w:val="0"/>
          <w:sz w:val="22"/>
          <w:highlight w:val="cyan"/>
          <w:u w:val="single"/>
        </w:rPr>
        <w:t xml:space="preserve"> in contributory trademark infringement cases for brick-and-mortar stores, but courts have yet to apply the same standard through online</w:t>
      </w:r>
      <w:r>
        <w:rPr>
          <w:b w:val="0"/>
          <w:i w:val="0"/>
          <w:smallCaps w:val="0"/>
          <w:strike w:val="0"/>
          <w:sz w:val="22"/>
          <w:u w:val="single"/>
        </w:rPr>
        <w:t xml:space="preserve"> marketplace </w:t>
      </w:r>
      <w:r>
        <w:rPr>
          <w:b w:val="0"/>
          <w:i w:val="0"/>
          <w:smallCaps w:val="0"/>
          <w:strike w:val="0"/>
          <w:sz w:val="22"/>
          <w:highlight w:val="cyan"/>
          <w:u w:val="single"/>
        </w:rPr>
        <w:t>infringement</w:t>
      </w:r>
      <w:r>
        <w:rPr>
          <w:b w:val="0"/>
          <w:i w:val="0"/>
          <w:smallCaps w:val="0"/>
          <w:strike w:val="0"/>
          <w:sz w:val="22"/>
          <w:u w:val="single"/>
        </w:rPr>
        <w:t>s</w:t>
      </w:r>
      <w:r>
        <w:rPr>
          <w:b w:val="0"/>
          <w:i w:val="0"/>
          <w:smallCaps w:val="0"/>
          <w:strike w:val="0"/>
          <w:u w:val="none"/>
        </w:rPr>
        <w:t xml:space="preserve">.280 </w:t>
      </w:r>
      <w:r>
        <w:rPr>
          <w:b w:val="0"/>
          <w:i w:val="0"/>
          <w:smallCaps w:val="0"/>
          <w:strike w:val="0"/>
          <w:sz w:val="22"/>
          <w:u w:val="single"/>
        </w:rPr>
        <w:t xml:space="preserve">A statute to create such a cause of action may read: </w:t>
      </w:r>
    </w:p>
    <w:p>
      <w:pPr>
        <w:spacing w:after="60"/>
      </w:pPr>
      <w:r>
        <w:rPr>
          <w:b w:val="0"/>
          <w:i w:val="0"/>
          <w:smallCaps w:val="0"/>
          <w:strike w:val="0"/>
          <w:sz w:val="22"/>
          <w:u w:val="single"/>
        </w:rPr>
        <w:t>An online retailer may be held contributorily liable for trademark infringement if: the online retailer suspects wrongdoing, and fails to investigate</w:t>
      </w:r>
      <w:r>
        <w:rPr>
          <w:b w:val="0"/>
          <w:i w:val="0"/>
          <w:smallCaps w:val="0"/>
          <w:strike w:val="0"/>
          <w:u w:val="none"/>
        </w:rPr>
        <w:t xml:space="preserve"> and rectify such wrongdoing, </w:t>
      </w:r>
      <w:r>
        <w:rPr>
          <w:b w:val="0"/>
          <w:i w:val="0"/>
          <w:smallCaps w:val="0"/>
          <w:strike w:val="0"/>
          <w:sz w:val="22"/>
          <w:u w:val="single"/>
        </w:rPr>
        <w:t xml:space="preserve">or fails to actively police for </w:t>
      </w:r>
      <w:r>
        <w:rPr>
          <w:b w:val="0"/>
          <w:i w:val="0"/>
          <w:smallCaps w:val="0"/>
          <w:strike w:val="0"/>
          <w:sz w:val="22"/>
          <w:u w:val="single"/>
        </w:rPr>
        <w:t>particular infringements</w:t>
      </w:r>
      <w:r>
        <w:rPr>
          <w:b w:val="0"/>
          <w:i w:val="0"/>
          <w:smallCaps w:val="0"/>
          <w:strike w:val="0"/>
          <w:sz w:val="22"/>
          <w:u w:val="single"/>
        </w:rPr>
        <w:t xml:space="preserve"> </w:t>
      </w:r>
      <w:r>
        <w:rPr>
          <w:b w:val="0"/>
          <w:i w:val="0"/>
          <w:smallCaps w:val="0"/>
          <w:strike w:val="0"/>
          <w:u w:val="none"/>
        </w:rPr>
        <w:t xml:space="preserve">after suspecting such wrongdoing. </w:t>
      </w:r>
      <w:r>
        <w:rPr>
          <w:b w:val="0"/>
          <w:i w:val="0"/>
          <w:smallCaps w:val="0"/>
          <w:strike w:val="0"/>
          <w:sz w:val="22"/>
          <w:u w:val="single"/>
        </w:rPr>
        <w:t>In order to evaluate whether the online retailer ‘suspects wrongdoing,’</w:t>
      </w:r>
      <w:r>
        <w:rPr>
          <w:b w:val="0"/>
          <w:i w:val="0"/>
          <w:smallCaps w:val="0"/>
          <w:strike w:val="0"/>
          <w:u w:val="none"/>
        </w:rPr>
        <w:t xml:space="preserve"> </w:t>
      </w:r>
      <w:r>
        <w:rPr>
          <w:b w:val="0"/>
          <w:i w:val="0"/>
          <w:smallCaps w:val="0"/>
          <w:strike w:val="0"/>
          <w:sz w:val="22"/>
          <w:u w:val="single"/>
        </w:rPr>
        <w:t>courts shall evaluate the following factors</w:t>
      </w:r>
      <w:r>
        <w:rPr>
          <w:b w:val="0"/>
          <w:i w:val="0"/>
          <w:smallCaps w:val="0"/>
          <w:strike w:val="0"/>
          <w:u w:val="none"/>
        </w:rPr>
        <w:t xml:space="preserve">, including but not limited to: (1) </w:t>
      </w:r>
      <w:r>
        <w:rPr>
          <w:b w:val="0"/>
          <w:i w:val="0"/>
          <w:smallCaps w:val="0"/>
          <w:strike w:val="0"/>
          <w:sz w:val="22"/>
          <w:u w:val="single"/>
        </w:rPr>
        <w:t xml:space="preserve">whether a party </w:t>
      </w:r>
      <w:r>
        <w:rPr>
          <w:b w:val="0"/>
          <w:i w:val="0"/>
          <w:smallCaps w:val="0"/>
          <w:strike w:val="0"/>
          <w:u w:val="none"/>
        </w:rPr>
        <w:t>outside of the online retailer</w:t>
      </w:r>
      <w:r>
        <w:rPr>
          <w:b w:val="0"/>
          <w:i w:val="0"/>
          <w:smallCaps w:val="0"/>
          <w:strike w:val="0"/>
          <w:sz w:val="22"/>
          <w:u w:val="single"/>
        </w:rPr>
        <w:t xml:space="preserve"> notified the online retailer</w:t>
      </w:r>
      <w:r>
        <w:rPr>
          <w:b w:val="0"/>
          <w:i w:val="0"/>
          <w:smallCaps w:val="0"/>
          <w:strike w:val="0"/>
          <w:u w:val="none"/>
        </w:rPr>
        <w:t xml:space="preserve"> </w:t>
      </w:r>
      <w:r>
        <w:rPr>
          <w:b w:val="0"/>
          <w:i w:val="0"/>
          <w:smallCaps w:val="0"/>
          <w:strike w:val="0"/>
          <w:sz w:val="22"/>
          <w:u w:val="single"/>
        </w:rPr>
        <w:t>of</w:t>
      </w:r>
      <w:r>
        <w:rPr>
          <w:b w:val="0"/>
          <w:i w:val="0"/>
          <w:smallCaps w:val="0"/>
          <w:strike w:val="0"/>
          <w:u w:val="none"/>
        </w:rPr>
        <w:t xml:space="preserve"> the </w:t>
      </w:r>
      <w:r>
        <w:rPr>
          <w:b w:val="0"/>
          <w:i w:val="0"/>
          <w:smallCaps w:val="0"/>
          <w:strike w:val="0"/>
          <w:sz w:val="22"/>
          <w:u w:val="single"/>
        </w:rPr>
        <w:t>particular</w:t>
      </w:r>
      <w:r>
        <w:rPr>
          <w:b w:val="0"/>
          <w:i w:val="0"/>
          <w:smallCaps w:val="0"/>
          <w:strike w:val="0"/>
          <w:u w:val="none"/>
        </w:rPr>
        <w:t xml:space="preserve"> alleged </w:t>
      </w:r>
      <w:r>
        <w:rPr>
          <w:b w:val="0"/>
          <w:i w:val="0"/>
          <w:smallCaps w:val="0"/>
          <w:strike w:val="0"/>
          <w:sz w:val="22"/>
          <w:u w:val="single"/>
        </w:rPr>
        <w:t>infringements</w:t>
      </w:r>
      <w:r>
        <w:rPr>
          <w:b w:val="0"/>
          <w:i w:val="0"/>
          <w:smallCaps w:val="0"/>
          <w:strike w:val="0"/>
          <w:u w:val="none"/>
        </w:rPr>
        <w:t xml:space="preserve"> of particular products; (2) whether a party outside of the online retailer notified the online retailer of</w:t>
      </w:r>
      <w:r>
        <w:rPr>
          <w:b w:val="0"/>
          <w:i w:val="0"/>
          <w:smallCaps w:val="0"/>
          <w:strike w:val="0"/>
          <w:sz w:val="22"/>
          <w:u w:val="single"/>
        </w:rPr>
        <w:t xml:space="preserve"> general</w:t>
      </w:r>
      <w:r>
        <w:rPr>
          <w:b w:val="0"/>
          <w:i w:val="0"/>
          <w:smallCaps w:val="0"/>
          <w:strike w:val="0"/>
          <w:u w:val="none"/>
        </w:rPr>
        <w:t xml:space="preserve"> alleged </w:t>
      </w:r>
      <w:r>
        <w:rPr>
          <w:b w:val="0"/>
          <w:i w:val="0"/>
          <w:smallCaps w:val="0"/>
          <w:strike w:val="0"/>
          <w:sz w:val="22"/>
          <w:u w:val="single"/>
        </w:rPr>
        <w:t>infringements</w:t>
      </w:r>
      <w:r>
        <w:rPr>
          <w:b w:val="0"/>
          <w:i w:val="0"/>
          <w:smallCaps w:val="0"/>
          <w:strike w:val="0"/>
          <w:u w:val="none"/>
        </w:rPr>
        <w:t xml:space="preserve"> of particular products; (3) </w:t>
      </w:r>
      <w:r>
        <w:rPr>
          <w:b w:val="0"/>
          <w:i w:val="0"/>
          <w:smallCaps w:val="0"/>
          <w:strike w:val="0"/>
          <w:sz w:val="22"/>
          <w:u w:val="single"/>
        </w:rPr>
        <w:t>the amount of infringements; and</w:t>
      </w:r>
      <w:r>
        <w:rPr>
          <w:b w:val="0"/>
          <w:i w:val="0"/>
          <w:smallCaps w:val="0"/>
          <w:strike w:val="0"/>
          <w:u w:val="none"/>
        </w:rPr>
        <w:t xml:space="preserve"> (4) </w:t>
      </w:r>
      <w:r>
        <w:rPr>
          <w:b w:val="0"/>
          <w:i w:val="0"/>
          <w:smallCaps w:val="0"/>
          <w:strike w:val="0"/>
          <w:sz w:val="22"/>
          <w:u w:val="single"/>
        </w:rPr>
        <w:t xml:space="preserve">whether there is information publicly available indicating </w:t>
      </w:r>
      <w:r>
        <w:rPr>
          <w:b w:val="0"/>
          <w:i w:val="0"/>
          <w:smallCaps w:val="0"/>
          <w:strike w:val="0"/>
          <w:u w:val="none"/>
        </w:rPr>
        <w:t xml:space="preserve">alleged </w:t>
      </w:r>
      <w:r>
        <w:rPr>
          <w:b w:val="0"/>
          <w:i w:val="0"/>
          <w:smallCaps w:val="0"/>
          <w:strike w:val="0"/>
          <w:sz w:val="22"/>
          <w:u w:val="single"/>
        </w:rPr>
        <w:t>infringement</w:t>
      </w:r>
      <w:r>
        <w:rPr>
          <w:b w:val="0"/>
          <w:i w:val="0"/>
          <w:smallCaps w:val="0"/>
          <w:strike w:val="0"/>
          <w:u w:val="none"/>
        </w:rPr>
        <w:t>.281</w:t>
      </w:r>
      <w:r>
        <w:rPr>
          <w:b w:val="0"/>
          <w:i w:val="0"/>
          <w:smallCaps w:val="0"/>
          <w:strike w:val="0"/>
          <w:u w:val="none"/>
        </w:rPr>
        <w:t xml:space="preserve"> </w:t>
      </w:r>
    </w:p>
    <w:p>
      <w:pPr>
        <w:spacing w:after="60"/>
      </w:pPr>
      <w:r>
        <w:rPr>
          <w:b w:val="0"/>
          <w:i w:val="0"/>
          <w:smallCaps w:val="0"/>
          <w:strike w:val="0"/>
          <w:sz w:val="22"/>
          <w:u w:val="single"/>
        </w:rPr>
        <w:t>This</w:t>
      </w:r>
      <w:r>
        <w:rPr>
          <w:b w:val="0"/>
          <w:i w:val="0"/>
          <w:smallCaps w:val="0"/>
          <w:strike w:val="0"/>
          <w:u w:val="none"/>
        </w:rPr>
        <w:t xml:space="preserve"> approach </w:t>
      </w:r>
      <w:r>
        <w:rPr>
          <w:b w:val="0"/>
          <w:i w:val="0"/>
          <w:smallCaps w:val="0"/>
          <w:strike w:val="0"/>
          <w:sz w:val="22"/>
          <w:u w:val="single"/>
        </w:rPr>
        <w:t>is feasible because it parallels Alibaba’s current methodology of actively policing a mark once there is a specific amount of infringement claims</w:t>
      </w:r>
      <w:r>
        <w:rPr>
          <w:b w:val="0"/>
          <w:i w:val="0"/>
          <w:smallCaps w:val="0"/>
          <w:strike w:val="0"/>
          <w:u w:val="none"/>
        </w:rPr>
        <w:t xml:space="preserve">.282 Additionally, </w:t>
      </w:r>
      <w:r>
        <w:rPr>
          <w:b w:val="0"/>
          <w:i w:val="0"/>
          <w:smallCaps w:val="0"/>
          <w:strike w:val="0"/>
          <w:sz w:val="22"/>
          <w:highlight w:val="cyan"/>
          <w:u w:val="single"/>
        </w:rPr>
        <w:t>broadening of the knowledge standard would incentivize online marketplaces to increase their efforts to combat counterfeits</w:t>
      </w:r>
      <w:r>
        <w:rPr>
          <w:b w:val="0"/>
          <w:i w:val="0"/>
          <w:smallCaps w:val="0"/>
          <w:strike w:val="0"/>
          <w:u w:val="none"/>
        </w:rPr>
        <w:t xml:space="preserve">. </w:t>
      </w:r>
      <w:r>
        <w:rPr>
          <w:b w:val="0"/>
          <w:i w:val="0"/>
          <w:smallCaps w:val="0"/>
          <w:strike w:val="0"/>
          <w:sz w:val="22"/>
          <w:highlight w:val="cyan"/>
          <w:u w:val="single"/>
        </w:rPr>
        <w:t>It</w:t>
      </w:r>
      <w:r>
        <w:rPr>
          <w:b w:val="0"/>
          <w:i w:val="0"/>
          <w:smallCaps w:val="0"/>
          <w:strike w:val="0"/>
          <w:u w:val="none"/>
        </w:rPr>
        <w:t xml:space="preserve"> also </w:t>
      </w:r>
      <w:r>
        <w:rPr>
          <w:b w:val="0"/>
          <w:i w:val="0"/>
          <w:smallCaps w:val="0"/>
          <w:strike w:val="0"/>
          <w:sz w:val="22"/>
          <w:highlight w:val="cyan"/>
          <w:u w:val="single"/>
        </w:rPr>
        <w:t>does not entirely shift the burden away from brand owners—they would still have to put the website on notice prior to suing</w:t>
      </w:r>
      <w:r>
        <w:rPr>
          <w:b w:val="0"/>
          <w:i w:val="0"/>
          <w:smallCaps w:val="0"/>
          <w:strike w:val="0"/>
          <w:u w:val="none"/>
        </w:rPr>
        <w:t xml:space="preserve">. </w:t>
      </w:r>
    </w:p>
    <w:p>
      <w:pPr>
        <w:pStyle w:val="Caption"/>
      </w:pPr>
      <w:r>
        <w:t>Source: E Commerce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