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lack of a definition for ‘reasonable’ doesn’t mean it’s not clear. It’s a </w:t>
      </w:r>
      <w:r>
        <w:rPr>
          <w:b/>
          <w:i w:val="0"/>
          <w:smallCaps w:val="0"/>
          <w:strike w:val="0"/>
          <w:sz w:val="26"/>
          <w:u w:val="single"/>
        </w:rPr>
        <w:t>broader</w:t>
      </w:r>
      <w:r>
        <w:rPr>
          <w:b/>
          <w:i w:val="0"/>
          <w:smallCaps w:val="0"/>
          <w:strike w:val="0"/>
          <w:sz w:val="26"/>
          <w:u w:val="none"/>
        </w:rPr>
        <w:t xml:space="preserve"> standard than the Tiffany standard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June M. </w:t>
      </w:r>
      <w:r>
        <w:rPr>
          <w:b/>
          <w:i w:val="0"/>
          <w:smallCaps w:val="0"/>
          <w:strike w:val="0"/>
          <w:sz w:val="26"/>
          <w:u w:val="none"/>
        </w:rPr>
        <w:t>Besek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20</w:t>
      </w:r>
      <w:r>
        <w:rPr>
          <w:b w:val="0"/>
          <w:i w:val="0"/>
          <w:smallCaps w:val="0"/>
          <w:strike w:val="0"/>
          <w:u w:val="none"/>
        </w:rPr>
        <w:t xml:space="preserve"> – Chair, American Bar Association Section of Intellectual Property Law. Comment submitted to the Patent and Trademark Office. Re: Docket No. PTO–T–2020–0035 Office of Policy and International Affairs, Comment Request; Secondary Trademark Infringement Liability in the E-Commerce Setting, 12/21,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Footnote 7. The Act calls for expeditious removal of listings and sellers where counterfeiting can “reasonably” be determined. </w:t>
      </w:r>
      <w:r>
        <w:rPr>
          <w:b w:val="0"/>
          <w:i w:val="0"/>
          <w:smallCaps w:val="0"/>
          <w:strike w:val="0"/>
          <w:sz w:val="22"/>
          <w:u w:val="single"/>
        </w:rPr>
        <w:t>While “reasonable” standard remains undefined in the Act</w:t>
      </w:r>
      <w:r>
        <w:rPr>
          <w:b w:val="0"/>
          <w:i w:val="0"/>
          <w:smallCaps w:val="0"/>
          <w:strike w:val="0"/>
          <w:u w:val="none"/>
        </w:rPr>
        <w:t xml:space="preserve">, see infra, </w:t>
      </w:r>
      <w:r>
        <w:rPr>
          <w:b w:val="0"/>
          <w:i w:val="0"/>
          <w:smallCaps w:val="0"/>
          <w:strike w:val="0"/>
          <w:sz w:val="22"/>
          <w:u w:val="single"/>
        </w:rPr>
        <w:t>given Congress’s stated desire to overturn Tiffany</w:t>
      </w:r>
      <w:r>
        <w:rPr>
          <w:b w:val="0"/>
          <w:i w:val="0"/>
          <w:smallCaps w:val="0"/>
          <w:strike w:val="0"/>
          <w:u w:val="none"/>
        </w:rPr>
        <w:t xml:space="preserve">, the Section believes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such a standard would be broader than the narrow definition in Tiffany, such that it would account for what a reasonable person would know under </w:t>
      </w:r>
      <w:r>
        <w:rPr>
          <w:b w:val="0"/>
          <w:i w:val="0"/>
          <w:smallCaps w:val="0"/>
          <w:strike w:val="0"/>
          <w:sz w:val="22"/>
          <w:u w:val="single"/>
        </w:rPr>
        <w:t>particular circumstances</w:t>
      </w:r>
      <w:r>
        <w:rPr>
          <w:b w:val="0"/>
          <w:i w:val="0"/>
          <w:smallCaps w:val="0"/>
          <w:strike w:val="0"/>
          <w:u w:val="none"/>
        </w:rPr>
        <w:t>, and what reasonable actions would be required given that knowledge.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