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Anti-counterfeiting cooperation is low now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Helena </w:t>
      </w:r>
      <w:r>
        <w:rPr>
          <w:b/>
          <w:i w:val="0"/>
          <w:smallCaps w:val="0"/>
          <w:strike w:val="0"/>
          <w:sz w:val="26"/>
          <w:u w:val="none"/>
        </w:rPr>
        <w:t>Rother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- </w:t>
      </w:r>
      <w:r>
        <w:rPr>
          <w:b w:val="0"/>
          <w:i w:val="0"/>
          <w:smallCaps w:val="0"/>
          <w:strike w:val="0"/>
          <w:u w:val="none"/>
        </w:rPr>
        <w:t xml:space="preserve">senior associate, Communications and Research, at the International Trademark </w:t>
      </w:r>
      <w:r>
        <w:rPr>
          <w:b w:val="0"/>
          <w:i w:val="0"/>
          <w:smallCaps w:val="0"/>
          <w:strike w:val="0"/>
          <w:u w:val="none"/>
        </w:rPr>
        <w:t>Association  “</w:t>
      </w:r>
      <w:r>
        <w:rPr>
          <w:b w:val="0"/>
          <w:i w:val="0"/>
          <w:smallCaps w:val="0"/>
          <w:strike w:val="0"/>
          <w:u w:val="none"/>
        </w:rPr>
        <w:t>Evaluating corporate anti-counterfeiting efforts after the pandemic” World Trademark Review, 9/29,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data suggests that in-house legal teams work closely with law enforcement and government/legislative bodies. However, </w:t>
      </w:r>
      <w:r>
        <w:rPr>
          <w:b w:val="0"/>
          <w:i w:val="0"/>
          <w:smallCaps w:val="0"/>
          <w:strike w:val="0"/>
          <w:sz w:val="22"/>
          <w:u w:val="single"/>
        </w:rPr>
        <w:t>collaboration with brand owners in their same industry</w:t>
      </w:r>
      <w:r>
        <w:rPr>
          <w:b w:val="0"/>
          <w:i w:val="0"/>
          <w:smallCaps w:val="0"/>
          <w:strike w:val="0"/>
          <w:u w:val="none"/>
        </w:rPr>
        <w:t xml:space="preserve">, brand owners in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other industries, logistics/freight </w:t>
      </w:r>
      <w:r>
        <w:rPr>
          <w:b w:val="0"/>
          <w:i w:val="0"/>
          <w:smallCaps w:val="0"/>
          <w:strike w:val="0"/>
          <w:sz w:val="22"/>
          <w:u w:val="single"/>
        </w:rPr>
        <w:t>organisations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payment and search engines </w:t>
      </w:r>
      <w:r>
        <w:rPr>
          <w:b w:val="0"/>
          <w:i w:val="0"/>
          <w:smallCaps w:val="0"/>
          <w:strike w:val="0"/>
          <w:sz w:val="22"/>
          <w:u w:val="single"/>
        </w:rPr>
        <w:t>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lacking</w:t>
      </w:r>
      <w:r>
        <w:rPr>
          <w:b w:val="0"/>
          <w:i w:val="0"/>
          <w:smallCaps w:val="0"/>
          <w:strike w:val="0"/>
          <w:u w:val="none"/>
        </w:rPr>
        <w:t xml:space="preserve">. Just over half of all respondents said their </w:t>
      </w:r>
      <w:r>
        <w:rPr>
          <w:b w:val="0"/>
          <w:i w:val="0"/>
          <w:smallCaps w:val="0"/>
          <w:strike w:val="0"/>
          <w:u w:val="none"/>
        </w:rPr>
        <w:t>organisation</w:t>
      </w:r>
      <w:r>
        <w:rPr>
          <w:b w:val="0"/>
          <w:i w:val="0"/>
          <w:smallCaps w:val="0"/>
          <w:strike w:val="0"/>
          <w:u w:val="none"/>
        </w:rPr>
        <w:t xml:space="preserve"> collaborates with other brand owners in anti-counterfeiting matters either frequently or very frequently, while a further two-fifths collaborate less often. In addition, </w:t>
      </w:r>
      <w:r>
        <w:rPr>
          <w:b w:val="0"/>
          <w:i w:val="0"/>
          <w:smallCaps w:val="0"/>
          <w:strike w:val="0"/>
          <w:sz w:val="22"/>
          <w:u w:val="single"/>
        </w:rPr>
        <w:t>more than one third of respondents reported no collaboration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with brand owners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 other industries.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A similar proportion said they do not collaborate with logistics/freight </w:t>
      </w:r>
      <w:r>
        <w:rPr>
          <w:b w:val="0"/>
          <w:i w:val="0"/>
          <w:smallCaps w:val="0"/>
          <w:strike w:val="0"/>
          <w:sz w:val="22"/>
          <w:u w:val="single"/>
        </w:rPr>
        <w:t>organisations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payment providers.</w:t>
      </w:r>
      <w:r>
        <w:rPr>
          <w:b w:val="0"/>
          <w:i w:val="0"/>
          <w:smallCaps w:val="0"/>
          <w:strike w:val="0"/>
          <w:u w:val="none"/>
        </w:rPr>
        <w:t xml:space="preserve"> Moreover, information about whether and to what extent in-house legal teams are collaborating with other stakeholders to fight counterfeiting remains low. Survey respondents expressed a high degree of uncertainty about whether they collaborated with various stakeholders. </w:t>
      </w:r>
      <w:r>
        <w:rPr>
          <w:b w:val="0"/>
          <w:i w:val="0"/>
          <w:smallCaps w:val="0"/>
          <w:strike w:val="0"/>
          <w:sz w:val="22"/>
          <w:u w:val="single"/>
        </w:rPr>
        <w:t>Reasons given for not collaborating include a lack of access to people in charge of anti-counterfeiting activities and lack of awareness about opportunities for collaboration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