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 deposit requirement prevents floods of takedown requests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Austin </w:t>
      </w:r>
      <w:r>
        <w:rPr>
          <w:b/>
          <w:i w:val="0"/>
          <w:smallCaps w:val="0"/>
          <w:strike w:val="0"/>
          <w:sz w:val="26"/>
          <w:u w:val="none"/>
        </w:rPr>
        <w:t>Church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J.D. Candidate, Boston University School of Law “INCORPORATING A DEPOSIT MECHANISM INTO THE DIGITAL MILLENNIUM COPYRIGHT ACT TO FIGHT ONLINE COUNTERFEITING IN E-COMMERCE” BOSTON UNIVERSITY LAW REVIEW [Vol.103:935,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157 </w:t>
      </w:r>
      <w:r>
        <w:rPr>
          <w:b w:val="0"/>
          <w:i w:val="0"/>
          <w:smallCaps w:val="0"/>
          <w:strike w:val="0"/>
          <w:sz w:val="22"/>
          <w:u w:val="single"/>
        </w:rPr>
        <w:t>There are concerns with the DMCA around floods of takedown requests</w:t>
      </w:r>
      <w:r>
        <w:rPr>
          <w:b w:val="0"/>
          <w:i w:val="0"/>
          <w:smallCaps w:val="0"/>
          <w:strike w:val="0"/>
          <w:u w:val="none"/>
        </w:rPr>
        <w:t xml:space="preserve"> being filed. </w:t>
      </w:r>
      <w:r>
        <w:rPr>
          <w:b w:val="0"/>
          <w:i w:val="0"/>
          <w:smallCaps w:val="0"/>
          <w:strike w:val="0"/>
          <w:sz w:val="22"/>
          <w:u w:val="single"/>
        </w:rPr>
        <w:t>That flooding in the copyright context is one reason that adding a deposit requirement to the trademark context will be beneficial</w:t>
      </w:r>
      <w:r>
        <w:rPr>
          <w:b w:val="0"/>
          <w:i w:val="0"/>
          <w:smallCaps w:val="0"/>
          <w:strike w:val="0"/>
          <w:u w:val="none"/>
        </w:rPr>
        <w:t xml:space="preserve">. See BRUCE BOYDEN, THE FAILURE OF THE DMCA NOTICE AND TAKEDOWN SYSTEM: A TWENTIETH CENTURY SOLUTION TO A TWENTY-FIRST CENTURY PROBLEM 1 (2013), https://sls.gmu.edu/cpip/wp-content/uploads/sites/31/2013/08 /Bruce-Boyden-The-Failure-of-the-DMCA-Notice-and-Takedown-System1.pdf [https://perma.cc/JA9T-PU2W] (noting there were 6.5 million takedown notices sent each month in 2013).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