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They’re 88% of all trademark cases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Bea </w:t>
      </w:r>
      <w:r>
        <w:rPr>
          <w:b/>
          <w:i w:val="0"/>
          <w:smallCaps w:val="0"/>
          <w:strike w:val="0"/>
          <w:sz w:val="26"/>
          <w:u w:val="none"/>
        </w:rPr>
        <w:t>Swedlow and</w:t>
      </w:r>
      <w:r>
        <w:rPr>
          <w:b w:val="0"/>
          <w:i w:val="0"/>
          <w:smallCaps w:val="0"/>
          <w:strike w:val="0"/>
          <w:u w:val="none"/>
        </w:rPr>
        <w:t xml:space="preserve"> David </w:t>
      </w:r>
      <w:r>
        <w:rPr>
          <w:b/>
          <w:i w:val="0"/>
          <w:smallCaps w:val="0"/>
          <w:strike w:val="0"/>
          <w:sz w:val="26"/>
          <w:u w:val="none"/>
        </w:rPr>
        <w:t>Roulo,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Bea Swedlow is a partner and David Roulo is an associate at Honigman </w:t>
      </w:r>
      <w:r>
        <w:rPr>
          <w:b w:val="0"/>
          <w:i w:val="0"/>
          <w:smallCaps w:val="0"/>
          <w:strike w:val="0"/>
          <w:u w:val="none"/>
        </w:rPr>
        <w:t>LLP“</w:t>
      </w:r>
      <w:r>
        <w:rPr>
          <w:b w:val="0"/>
          <w:i w:val="0"/>
          <w:smallCaps w:val="0"/>
          <w:strike w:val="0"/>
          <w:u w:val="none"/>
        </w:rPr>
        <w:t>Concerns</w:t>
      </w:r>
      <w:r>
        <w:rPr>
          <w:b w:val="0"/>
          <w:i w:val="0"/>
          <w:smallCaps w:val="0"/>
          <w:strike w:val="0"/>
          <w:u w:val="none"/>
        </w:rPr>
        <w:t xml:space="preserve"> Emerging On TM Cases Against Undisclosed Parties” Law360 Expert Analysis - Corporate, 6/21, Nexis Uni,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Famous brands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performers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filling the trademark docket of certain district courts</w:t>
      </w:r>
      <w:r>
        <w:rPr>
          <w:b w:val="0"/>
          <w:i w:val="0"/>
          <w:smallCaps w:val="0"/>
          <w:strike w:val="0"/>
          <w:u w:val="none"/>
        </w:rPr>
        <w:t xml:space="preserve"> hoping to stop counterfeiters from infringing their marks. The defendants are foreign entities selling allegedly counterfeit products via online platforms, under aliases.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plaintiff brands sue hundreds of counterfeiters as undisclosed defendants listed in a "Schedule A" exhibit, joined in a single lawsuit, seeking to take down listings, remove websites and freeze assets in e-commerce accounts.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With assembly-line precision and speed,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plaintiffs succeed virtually every time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success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predictability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led to a dramatic increase in the number of these cases filed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some judges are starting to curtail these efforts, lawyers for these brands continue to file them </w:t>
      </w:r>
      <w:r>
        <w:rPr>
          <w:b w:val="0"/>
          <w:i w:val="0"/>
          <w:smallCaps w:val="0"/>
          <w:strike w:val="0"/>
          <w:u w:val="none"/>
        </w:rPr>
        <w:t>on a daily basis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Pattern of Undisclosed Defendant Cases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volume and growth of filings is significant. So far this year,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88% of the trademark cases filed</w:t>
      </w:r>
      <w:r>
        <w:rPr>
          <w:b w:val="0"/>
          <w:i w:val="0"/>
          <w:smallCaps w:val="0"/>
          <w:strike w:val="0"/>
          <w:u w:val="none"/>
        </w:rPr>
        <w:t xml:space="preserve"> in the U.S. District Court for the Northern District of Illinois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against Schedule A defendants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Ten years ago, the Schedule A cases made up </w:t>
      </w:r>
      <w:r>
        <w:rPr>
          <w:b w:val="0"/>
          <w:i w:val="0"/>
          <w:smallCaps w:val="0"/>
          <w:strike w:val="0"/>
          <w:u w:val="none"/>
        </w:rPr>
        <w:t xml:space="preserve">approximately </w:t>
      </w:r>
      <w:r>
        <w:rPr>
          <w:b w:val="0"/>
          <w:i w:val="0"/>
          <w:smallCaps w:val="0"/>
          <w:strike w:val="0"/>
          <w:sz w:val="22"/>
          <w:u w:val="single"/>
        </w:rPr>
        <w:t>25%</w:t>
      </w:r>
      <w:r>
        <w:rPr>
          <w:b w:val="0"/>
          <w:i w:val="0"/>
          <w:smallCaps w:val="0"/>
          <w:strike w:val="0"/>
          <w:u w:val="none"/>
        </w:rPr>
        <w:t xml:space="preserve"> of that docket, and 15 years ago, plaintiffs filed, at best, a handful of these cases each year.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close look suggests there is an infrastructure and pattern to this litigation, so much so that multiple law firms in the Northern District of Illinois now prosecute these claims. Additionally,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 in other jurisdictions have started bringing these cases</w:t>
      </w:r>
      <w:r>
        <w:rPr>
          <w:b w:val="0"/>
          <w:i w:val="0"/>
          <w:smallCaps w:val="0"/>
          <w:strike w:val="0"/>
          <w:u w:val="none"/>
        </w:rPr>
        <w:t>, most notably in the U.S. District Court for the Southern District of Florida, where Schedule A cases comprise almost one-third of its trademark docket. These plaintiffs also file design patent and copyright claims of a similar nature, but trademark infringement is by far the most popular cause of action.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Each Schedule A case follows a similar pattern. A case filed by Nike in April illustrates the pattern well.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