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Existing IP protections </w:t>
      </w:r>
      <w:r>
        <w:rPr>
          <w:b/>
          <w:i w:val="0"/>
          <w:smallCaps w:val="0"/>
          <w:strike w:val="0"/>
          <w:sz w:val="26"/>
          <w:u w:val="single"/>
        </w:rPr>
        <w:t>chill investment</w:t>
      </w:r>
      <w:r>
        <w:rPr>
          <w:b/>
          <w:i w:val="0"/>
          <w:smallCaps w:val="0"/>
          <w:strike w:val="0"/>
          <w:sz w:val="26"/>
          <w:u w:val="none"/>
        </w:rPr>
        <w:t xml:space="preserve"> into sustainable business models for upcycling and repair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Elena </w:t>
      </w:r>
      <w:r>
        <w:rPr>
          <w:b/>
          <w:i w:val="0"/>
          <w:smallCaps w:val="0"/>
          <w:strike w:val="0"/>
          <w:sz w:val="26"/>
          <w:u w:val="none"/>
        </w:rPr>
        <w:t>Izyumenko</w:t>
      </w:r>
      <w:r>
        <w:rPr>
          <w:b/>
          <w:i w:val="0"/>
          <w:smallCaps w:val="0"/>
          <w:strike w:val="0"/>
          <w:sz w:val="26"/>
          <w:u w:val="non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20</w:t>
      </w:r>
      <w:r>
        <w:rPr>
          <w:b/>
          <w:i w:val="0"/>
          <w:smallCaps w:val="0"/>
          <w:strike w:val="0"/>
          <w:sz w:val="26"/>
          <w:u w:val="none"/>
        </w:rPr>
        <w:t>24</w:t>
      </w:r>
      <w:r>
        <w:rPr>
          <w:b w:val="0"/>
          <w:i w:val="0"/>
          <w:smallCaps w:val="0"/>
          <w:strike w:val="0"/>
          <w:u w:val="none"/>
        </w:rPr>
        <w:t xml:space="preserve"> –  Ph.D.; Assistant Professor of Intellectual Property Law, Institute for Information Law (</w:t>
      </w:r>
      <w:r>
        <w:rPr>
          <w:b w:val="0"/>
          <w:i w:val="0"/>
          <w:smallCaps w:val="0"/>
          <w:strike w:val="0"/>
          <w:u w:val="none"/>
        </w:rPr>
        <w:t>IViR</w:t>
      </w:r>
      <w:r>
        <w:rPr>
          <w:b w:val="0"/>
          <w:i w:val="0"/>
          <w:smallCaps w:val="0"/>
          <w:strike w:val="0"/>
          <w:u w:val="none"/>
        </w:rPr>
        <w:t xml:space="preserve">), Amsterdam Law School “Intellectual Property in the Age of the Environmental Crisis: How Trademarks and Copyright Challenge the Human Right to a Healthy Environment”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Current linear market patterns, characterized by rampant overconsumption, cast a looming shadow over the environment, contributing significantly to its degradation.1 In response,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urgent need for environmental consciousness is increasingly recognized, with various practices, such 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repair, refurbishment, and fashion upcycling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having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emerged as beacons of hope in mitigating the adverse effects of overconsumption</w:t>
      </w:r>
      <w:r>
        <w:rPr>
          <w:b w:val="0"/>
          <w:i w:val="0"/>
          <w:smallCaps w:val="0"/>
          <w:strike w:val="0"/>
          <w:u w:val="none"/>
        </w:rPr>
        <w:t>.2 These practices represent tangible efforts to reduce the environmental footprint, especially in the context of unfolding climate change.3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However,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 unexpected barrier obstructs these sustainable practices</w:t>
      </w:r>
      <w:r>
        <w:rPr>
          <w:b w:val="0"/>
          <w:i w:val="0"/>
          <w:smallCaps w:val="0"/>
          <w:strike w:val="0"/>
          <w:sz w:val="22"/>
          <w:u w:val="single"/>
        </w:rPr>
        <w:t>–</w:t>
      </w:r>
      <w:r>
        <w:rPr>
          <w:b w:val="0"/>
          <w:i w:val="0"/>
          <w:smallCaps w:val="0"/>
          <w:strike w:val="0"/>
          <w:u w:val="none"/>
        </w:rPr>
        <w:t xml:space="preserve"> intellectual property </w:t>
      </w:r>
      <w:r>
        <w:rPr>
          <w:b w:val="0"/>
          <w:i w:val="0"/>
          <w:smallCaps w:val="0"/>
          <w:strike w:val="0"/>
          <w:sz w:val="22"/>
          <w:u w:val="single"/>
        </w:rPr>
        <w:t>(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IP) protection</w:t>
      </w:r>
      <w:r>
        <w:rPr>
          <w:b w:val="0"/>
          <w:i w:val="0"/>
          <w:smallCaps w:val="0"/>
          <w:strike w:val="0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Despite the pressing call for a shift in linear modes of consumption, </w:t>
      </w:r>
      <w:r>
        <w:rPr>
          <w:b w:val="0"/>
          <w:i w:val="0"/>
          <w:smallCaps w:val="0"/>
          <w:strike w:val="0"/>
          <w:sz w:val="22"/>
          <w:u w:val="single"/>
        </w:rPr>
        <w:t>IP laws fail to align with sustainability goals.</w:t>
      </w:r>
      <w:r>
        <w:rPr>
          <w:b w:val="0"/>
          <w:i w:val="0"/>
          <w:smallCaps w:val="0"/>
          <w:strike w:val="0"/>
          <w:u w:val="none"/>
        </w:rPr>
        <w:t xml:space="preserve"> Across jurisdictions,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IP holders</w:t>
      </w:r>
      <w:r>
        <w:rPr>
          <w:b w:val="0"/>
          <w:i w:val="0"/>
          <w:smallCaps w:val="0"/>
          <w:strike w:val="0"/>
          <w:u w:val="none"/>
        </w:rPr>
        <w:t xml:space="preserve">, wielding near-absolute control over their productions,4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 well-equipped to allege trademark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copyright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infringement in relation to goods incorporating their intellectual creations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In certain cases, they have even already initiated legal actions against repair, refurbishment, and upcycling businesses</w:t>
      </w:r>
      <w:r>
        <w:rPr>
          <w:b w:val="0"/>
          <w:i w:val="0"/>
          <w:smallCaps w:val="0"/>
          <w:strike w:val="0"/>
          <w:u w:val="none"/>
        </w:rPr>
        <w:t xml:space="preserve"> in this regard.5 </w:t>
      </w:r>
      <w:r>
        <w:rPr>
          <w:b w:val="0"/>
          <w:i w:val="0"/>
          <w:smallCaps w:val="0"/>
          <w:strike w:val="0"/>
          <w:sz w:val="22"/>
          <w:u w:val="single"/>
        </w:rPr>
        <w:t>The internal mechanisms within IP laws,</w:t>
      </w:r>
      <w:r>
        <w:rPr>
          <w:b w:val="0"/>
          <w:i w:val="0"/>
          <w:smallCaps w:val="0"/>
          <w:strike w:val="0"/>
          <w:u w:val="none"/>
        </w:rPr>
        <w:t xml:space="preserve"> theoretically capable of safeguarding sustainable practices through concepts like IP exhaustion and exceptions,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are often interpreted by the courts to </w:t>
      </w:r>
      <w:r>
        <w:rPr>
          <w:b w:val="0"/>
          <w:i w:val="0"/>
          <w:smallCaps w:val="0"/>
          <w:strike w:val="0"/>
          <w:sz w:val="22"/>
          <w:u w:val="single"/>
        </w:rPr>
        <w:t>favour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stringent protection of IP holders</w:t>
      </w:r>
      <w:r>
        <w:rPr>
          <w:b w:val="0"/>
          <w:i w:val="0"/>
          <w:smallCaps w:val="0"/>
          <w:strike w:val="0"/>
          <w:u w:val="none"/>
        </w:rPr>
        <w:t xml:space="preserve">, creating, at most, conflicting outcomes.6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This</w:t>
      </w:r>
      <w:r>
        <w:rPr>
          <w:b w:val="0"/>
          <w:i w:val="0"/>
          <w:smallCaps w:val="0"/>
          <w:strike w:val="0"/>
          <w:u w:val="none"/>
        </w:rPr>
        <w:t xml:space="preserve">, in turn,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generates legal uncertainty that further chills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environmentally friendly practices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sustainable business models</w:t>
      </w:r>
      <w:r>
        <w:rPr>
          <w:b w:val="0"/>
          <w:i w:val="0"/>
          <w:smallCaps w:val="0"/>
          <w:strike w:val="0"/>
          <w:u w:val="none"/>
        </w:rPr>
        <w:t>.7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