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Strict liability increases innovation in compliance technology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Yassine </w:t>
      </w:r>
      <w:r>
        <w:rPr>
          <w:b/>
          <w:i w:val="0"/>
          <w:smallCaps w:val="0"/>
          <w:strike w:val="0"/>
          <w:sz w:val="26"/>
          <w:u w:val="none"/>
        </w:rPr>
        <w:t>Lefouili</w:t>
      </w:r>
      <w:r>
        <w:rPr>
          <w:b/>
          <w:i w:val="0"/>
          <w:smallCaps w:val="0"/>
          <w:strike w:val="0"/>
          <w:sz w:val="26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Leonardo </w:t>
      </w:r>
      <w:r>
        <w:rPr>
          <w:b/>
          <w:i w:val="0"/>
          <w:smallCaps w:val="0"/>
          <w:strike w:val="0"/>
          <w:sz w:val="26"/>
          <w:u w:val="none"/>
        </w:rPr>
        <w:t>Madio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*Toulouse School of Economics, University of Toulouse </w:t>
      </w:r>
      <w:r>
        <w:rPr>
          <w:b w:val="0"/>
          <w:i w:val="0"/>
          <w:smallCaps w:val="0"/>
          <w:strike w:val="0"/>
          <w:u w:val="none"/>
        </w:rPr>
        <w:t>Capitole</w:t>
      </w:r>
      <w:r>
        <w:rPr>
          <w:b w:val="0"/>
          <w:i w:val="0"/>
          <w:smallCaps w:val="0"/>
          <w:strike w:val="0"/>
          <w:u w:val="none"/>
        </w:rPr>
        <w:t xml:space="preserve">, Toulouse, France AND **Department of Economics and Management, University of Padua, Padua, Italy “The economics of platform liability” </w:t>
      </w:r>
      <w:r>
        <w:rPr>
          <w:b w:val="0"/>
          <w:i w:val="0"/>
          <w:smallCaps w:val="0"/>
          <w:strike w:val="0"/>
          <w:u w:val="none"/>
        </w:rPr>
        <w:t>Eur</w:t>
      </w:r>
      <w:r>
        <w:rPr>
          <w:b w:val="0"/>
          <w:i w:val="0"/>
          <w:smallCaps w:val="0"/>
          <w:strike w:val="0"/>
          <w:u w:val="none"/>
        </w:rPr>
        <w:t xml:space="preserve"> J Law Econ. 2022; 53(3): 319–351.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Third, </w:t>
      </w:r>
      <w:r>
        <w:rPr>
          <w:b w:val="0"/>
          <w:i w:val="0"/>
          <w:smallCaps w:val="0"/>
          <w:strike w:val="0"/>
          <w:sz w:val="22"/>
          <w:u w:val="single"/>
        </w:rPr>
        <w:t>the degree of stringency of the liability regime that platforms are subject to may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affect the “direction” of innovation,</w:t>
      </w:r>
      <w:r>
        <w:rPr>
          <w:b w:val="0"/>
          <w:i w:val="0"/>
          <w:smallCaps w:val="0"/>
          <w:strike w:val="0"/>
          <w:u w:val="none"/>
        </w:rPr>
        <w:t xml:space="preserve"> i.e., platforms’ choice between different types of innovations. More specifically,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(more) stringent liability rule is likely to make platforms favor (more) innovations leading to services and functionalities that do not entail high liability cost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 for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innovations that reduce liability costs associated with the services offered by the platform</w:t>
      </w:r>
      <w:r>
        <w:rPr>
          <w:b w:val="0"/>
          <w:i w:val="0"/>
          <w:smallCaps w:val="0"/>
          <w:strike w:val="0"/>
          <w:u w:val="none"/>
        </w:rPr>
        <w:t>. Whether such a distortion in the direction of innovation is socially desirable is an open question.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