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Paris targets are in reach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Ioannis </w:t>
      </w:r>
      <w:r>
        <w:rPr>
          <w:b/>
          <w:i w:val="0"/>
          <w:smallCaps w:val="0"/>
          <w:strike w:val="0"/>
          <w:sz w:val="26"/>
          <w:u w:val="none"/>
        </w:rPr>
        <w:t>Dafnomilis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et al,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 Copernicus Institute of Sustainable Development, Utrecht </w:t>
      </w:r>
      <w:r>
        <w:rPr>
          <w:b w:val="0"/>
          <w:i w:val="0"/>
          <w:smallCaps w:val="0"/>
          <w:strike w:val="0"/>
          <w:u w:val="none"/>
        </w:rPr>
        <w:t>University“</w:t>
      </w:r>
      <w:r>
        <w:rPr>
          <w:b w:val="0"/>
          <w:i w:val="0"/>
          <w:smallCaps w:val="0"/>
          <w:strike w:val="0"/>
          <w:u w:val="none"/>
        </w:rPr>
        <w:t>Paris</w:t>
      </w:r>
      <w:r>
        <w:rPr>
          <w:b w:val="0"/>
          <w:i w:val="0"/>
          <w:smallCaps w:val="0"/>
          <w:strike w:val="0"/>
          <w:u w:val="none"/>
        </w:rPr>
        <w:t xml:space="preserve"> targets within reach by aligning, broadening and strengthening net-zero pledges” Nature, 1/23,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recently announced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ambition to reach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net-zero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emissions</w:t>
      </w:r>
      <w:r>
        <w:rPr>
          <w:b w:val="0"/>
          <w:i w:val="0"/>
          <w:smallCaps w:val="0"/>
          <w:strike w:val="0"/>
          <w:u w:val="none"/>
        </w:rPr>
        <w:t xml:space="preserve"> targets. Here we explore the climate and energy transition impacts of the following strategies using the IMAGE integrated assessment model: 1) implementing the pledged 2030 targets and net-zero targets, 2) aligning the 2030 emission targets with the net-zero targets, 3) broadening the coalition of net-zero countries, and 4) strengthening the net-zero pledges by bringing them forward in time. </w:t>
      </w:r>
      <w:r>
        <w:rPr>
          <w:b w:val="0"/>
          <w:i w:val="0"/>
          <w:smallCaps w:val="0"/>
          <w:strike w:val="0"/>
          <w:sz w:val="22"/>
          <w:u w:val="single"/>
        </w:rPr>
        <w:t>The results illustrate that each step could accelerate the low-carbon transition by building on existing elements in international climate policy.</w:t>
      </w:r>
      <w:r>
        <w:rPr>
          <w:b w:val="0"/>
          <w:i w:val="0"/>
          <w:smallCaps w:val="0"/>
          <w:strike w:val="0"/>
          <w:u w:val="none"/>
        </w:rPr>
        <w:t xml:space="preserve"> Our study shows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gap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 continuation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current emission trends and a Paris-aligned 1.5 °C target can be reduced by</w:t>
      </w:r>
      <w:r>
        <w:rPr>
          <w:b w:val="0"/>
          <w:i w:val="0"/>
          <w:smallCaps w:val="0"/>
          <w:strike w:val="0"/>
          <w:u w:val="none"/>
        </w:rPr>
        <w:t xml:space="preserve"> about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90% by 2100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provides a pathway to bring the Paris Agreement climate goals within reach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