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harm of infringement occurred to domestic companies – that means the plan’s a domestic protection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LAWRENCE K. </w:t>
      </w:r>
      <w:r>
        <w:rPr>
          <w:b/>
          <w:i w:val="0"/>
          <w:smallCaps w:val="0"/>
          <w:strike w:val="0"/>
          <w:sz w:val="26"/>
          <w:u w:val="none"/>
        </w:rPr>
        <w:t>NODINE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22</w:t>
      </w:r>
      <w:r>
        <w:rPr>
          <w:b w:val="0"/>
          <w:i w:val="0"/>
          <w:smallCaps w:val="0"/>
          <w:strike w:val="0"/>
          <w:u w:val="none"/>
        </w:rPr>
        <w:t xml:space="preserve"> – counsel of record for the International Trademark Association. “BRIEF OF THE INTERNATIONAL TRADEMARK ASSOCIATION AS AMICUS </w:t>
      </w:r>
      <w:r>
        <w:rPr>
          <w:b w:val="0"/>
          <w:i w:val="0"/>
          <w:smallCaps w:val="0"/>
          <w:strike w:val="0"/>
          <w:u w:val="none"/>
        </w:rPr>
        <w:t>CURIAE  IN</w:t>
      </w:r>
      <w:r>
        <w:rPr>
          <w:b w:val="0"/>
          <w:i w:val="0"/>
          <w:smallCaps w:val="0"/>
          <w:strike w:val="0"/>
          <w:u w:val="none"/>
        </w:rPr>
        <w:t xml:space="preserve"> SUPPORT OF NEITHER PARTY” in the case of ABITRON AUSTRIA GMBH, ET AL.,  Petitioners, v. HETRONIC INTERNATIONAL, INC. Respondent.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Importantly, </w:t>
      </w:r>
      <w:r>
        <w:rPr>
          <w:b w:val="0"/>
          <w:i w:val="0"/>
          <w:smallCaps w:val="0"/>
          <w:strike w:val="0"/>
          <w:sz w:val="22"/>
          <w:u w:val="single"/>
        </w:rPr>
        <w:t>the Lanham Act’s focus is not limited to point-of-sale consumer confusion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It i</w:t>
      </w:r>
      <w:r>
        <w:rPr>
          <w:b w:val="0"/>
          <w:i w:val="0"/>
          <w:smallCaps w:val="0"/>
          <w:strike w:val="0"/>
          <w:u w:val="none"/>
        </w:rPr>
        <w:t xml:space="preserve">s broader, and </w:t>
      </w:r>
      <w:r>
        <w:rPr>
          <w:b w:val="0"/>
          <w:i w:val="0"/>
          <w:smallCaps w:val="0"/>
          <w:strike w:val="0"/>
          <w:sz w:val="22"/>
          <w:u w:val="single"/>
        </w:rPr>
        <w:t>provides remedies against pre-sale and post-sale confusion, injury to reputation,</w:t>
      </w:r>
      <w:r>
        <w:rPr>
          <w:b w:val="0"/>
          <w:i w:val="0"/>
          <w:smallCaps w:val="0"/>
          <w:strike w:val="0"/>
          <w:u w:val="none"/>
        </w:rPr>
        <w:t xml:space="preserve"> mistaken affiliation or sponsorship, </w:t>
      </w:r>
      <w:r>
        <w:rPr>
          <w:b w:val="0"/>
          <w:i w:val="0"/>
          <w:smallCaps w:val="0"/>
          <w:strike w:val="0"/>
          <w:sz w:val="22"/>
          <w:u w:val="single"/>
        </w:rPr>
        <w:t>and dilution. If a foreign actor causes substantial injury in the U.S</w:t>
      </w:r>
      <w:r>
        <w:rPr>
          <w:b w:val="0"/>
          <w:i w:val="0"/>
          <w:smallCaps w:val="0"/>
          <w:strike w:val="0"/>
          <w:u w:val="none"/>
        </w:rPr>
        <w:t xml:space="preserve">. in these ways,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then it would be a </w:t>
      </w:r>
      <w:r>
        <w:rPr>
          <w:b/>
          <w:i w:val="0"/>
          <w:smallCaps w:val="0"/>
          <w:strike w:val="0"/>
          <w:sz w:val="22"/>
          <w:u w:val="single"/>
        </w:rPr>
        <w:t>permissible domestic application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Lanham Act to</w:t>
      </w:r>
      <w:r>
        <w:rPr>
          <w:b w:val="0"/>
          <w:i w:val="0"/>
          <w:smallCaps w:val="0"/>
          <w:strike w:val="0"/>
          <w:u w:val="none"/>
        </w:rPr>
        <w:t xml:space="preserve"> enjoin or </w:t>
      </w:r>
      <w:r>
        <w:rPr>
          <w:b w:val="0"/>
          <w:i w:val="0"/>
          <w:smallCaps w:val="0"/>
          <w:strike w:val="0"/>
          <w:sz w:val="22"/>
          <w:u w:val="single"/>
        </w:rPr>
        <w:t>provide compensation</w:t>
      </w:r>
      <w:r>
        <w:rPr>
          <w:b w:val="0"/>
          <w:i w:val="0"/>
          <w:smallCaps w:val="0"/>
          <w:strike w:val="0"/>
          <w:u w:val="none"/>
        </w:rPr>
        <w:t xml:space="preserve"> for these injuries. 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