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Link—counternarrative/counter-story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Svane 20</w:t>
      </w:r>
      <w:r>
        <w:rPr>
          <w:b w:val="0"/>
          <w:i w:val="0"/>
          <w:smallCaps w:val="0"/>
          <w:strike w:val="0"/>
          <w:u w:val="none"/>
        </w:rPr>
        <w:t xml:space="preserve">, associate professor in organizations, leadership and HRM at Aalborg University Business School, Ph. D. in intercultural organizational relations. (Marita, 2020, “Counter-narratives and counter-stories” in </w:t>
      </w:r>
      <w:r>
        <w:rPr>
          <w:b w:val="0"/>
          <w:i/>
          <w:smallCaps w:val="0"/>
          <w:strike w:val="0"/>
          <w:u w:val="none"/>
        </w:rPr>
        <w:t>Routledge Handbook of Counter-Narratives</w:t>
      </w:r>
      <w:r>
        <w:rPr>
          <w:b w:val="0"/>
          <w:i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Klarissa Lueg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>Marianne Wolff Lundholt</w:t>
      </w:r>
      <w:r>
        <w:rPr>
          <w:b w:val="0"/>
          <w:i w:val="0"/>
          <w:smallCaps w:val="0"/>
          <w:strike w:val="0"/>
          <w:u w:val="none"/>
        </w:rPr>
        <w:t xml:space="preserve"> (eds.). Accessed via University of Michigan Library.)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The conceptual complexity of the storytelling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framework </w:t>
      </w:r>
      <w:r>
        <w:rPr>
          <w:b/>
          <w:i w:val="0"/>
          <w:smallCaps w:val="0"/>
          <w:strike w:val="0"/>
          <w:sz w:val="22"/>
          <w:u w:val="single"/>
        </w:rPr>
        <w:t>increases with the intersection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counter-narratives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a concept that has gained an increasingly firm foothold within the storytelling field (Bamberg &amp; Andrews, 2004; Frandsen, Kuhn, &amp; Lundholt, 2016). According to Andrews and Bamberg (2004), counter-narratives can be identified as positional categories in tension with other categories playing out at multiple layers of positioning. </w:t>
      </w:r>
      <w:r>
        <w:rPr>
          <w:b/>
          <w:i w:val="0"/>
          <w:smallCaps w:val="0"/>
          <w:strike w:val="0"/>
          <w:sz w:val="22"/>
          <w:u w:val="single"/>
        </w:rPr>
        <w:t>Counter-narratives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thus defined as relational categories that </w:t>
      </w:r>
      <w:r>
        <w:rPr>
          <w:b/>
          <w:i w:val="0"/>
          <w:smallCaps w:val="0"/>
          <w:strike w:val="0"/>
          <w:sz w:val="24"/>
          <w:u w:val="single"/>
        </w:rPr>
        <w:t>only make sense in relation to that which they are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countering.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intersection of </w:t>
      </w:r>
      <w:r>
        <w:rPr>
          <w:b/>
          <w:i w:val="0"/>
          <w:smallCaps w:val="0"/>
          <w:strike w:val="0"/>
          <w:sz w:val="22"/>
          <w:u w:val="single"/>
        </w:rPr>
        <w:t>the prefix ‘counter’ gives rise to new questions such as: What is meant by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‘counter’?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What is the nature of a counter position? Does the meaning of ‘counter’ change when the prefix is related to narratives, to living stories, or to antenarratives? Furthermore, </w:t>
      </w:r>
      <w:r>
        <w:rPr>
          <w:b/>
          <w:i w:val="0"/>
          <w:smallCaps w:val="0"/>
          <w:strike w:val="0"/>
          <w:sz w:val="22"/>
          <w:u w:val="single"/>
        </w:rPr>
        <w:t>the prefix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‘counter’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unavoidably associated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with the idea of tensions and contradictions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appearing in the middle between something. Hence, </w:t>
      </w:r>
      <w:r>
        <w:rPr>
          <w:b/>
          <w:i w:val="0"/>
          <w:smallCaps w:val="0"/>
          <w:strike w:val="0"/>
          <w:sz w:val="22"/>
          <w:u w:val="single"/>
        </w:rPr>
        <w:t>the prefix seems to foster a natural call for dialectics as a relevant perspective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addition to Bakhtin’s dialogue, </w:t>
      </w:r>
      <w:r>
        <w:rPr>
          <w:b/>
          <w:i w:val="0"/>
          <w:smallCaps w:val="0"/>
          <w:strike w:val="0"/>
          <w:sz w:val="22"/>
          <w:u w:val="single"/>
        </w:rPr>
        <w:t>may contribute to shedding more light 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 dynamical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involved in the three middles of the storytelling framework. The use of the prefix ‘counter’ and its associated middle thus need further scholarly attention.</w:t>
      </w:r>
    </w:p>
    <w:p>
      <w:pPr>
        <w:pStyle w:val="Caption"/>
      </w:pPr>
      <w:r>
        <w:t>Source: Fugitivity Negative Supplement v1 -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