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Many colonized peoples reject being labeled under the umbrella term “Indigenous”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Tatz 1</w:t>
      </w:r>
      <w:r>
        <w:rPr>
          <w:b w:val="0"/>
          <w:i w:val="0"/>
          <w:smallCaps w:val="0"/>
          <w:strike w:val="0"/>
          <w:u w:val="none"/>
        </w:rPr>
        <w:t xml:space="preserve"> Colin Tatz Macquarie University , From Welfare to Treaty: reviewing fifty years of Aboriginal policy and practice, In ‘The Power of Knowledge, the Resonance of Tradition’. https://citeseerx.ist.psu.edu/viewdoc/download?doi=10.1.1.363.7264&amp;rep=rep1&amp;type=pdf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my writing,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I studiously avoid the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word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‘indigenous’ or ‘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Indigenous’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 understand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very well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why 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(rightly)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talk about indigenous rights in reference to land,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sea beds, fishing and hunting rights: these are moral, human and legal rights arising out of prior occupation as a people who had forms of governance and a reign of law.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rights,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indigenous rights, must not be confused with the names by which peoples call themselves and wish to be known. ‘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Indigenous’ is plainly not the name that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these peoples call themselves. Nor do they wish to be subsumed into a commonality of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history, culture, language, and geography that they hardly share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Fugitivity Negative Supplement v1 -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