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rights are being reformed to address biopiracy in the squo</w:t>
      </w:r>
    </w:p>
    <w:p>
      <w:pPr>
        <w:spacing w:after="80"/>
      </w:pPr>
      <w:r>
        <w:rPr>
          <w:b/>
          <w:i w:val="0"/>
          <w:smallCaps w:val="0"/>
          <w:strike w:val="0"/>
          <w:sz w:val="26"/>
          <w:u w:val="none"/>
        </w:rPr>
        <w:t xml:space="preserve">Crouch </w:t>
      </w:r>
      <w:r>
        <w:rPr>
          <w:b/>
          <w:i w:val="0"/>
          <w:smallCaps w:val="0"/>
          <w:strike w:val="0"/>
          <w:sz w:val="26"/>
          <w:u w:val="none"/>
        </w:rPr>
        <w:t>’</w:t>
      </w:r>
      <w:r>
        <w:rPr>
          <w:b/>
          <w:i w:val="0"/>
          <w:smallCaps w:val="0"/>
          <w:strike w:val="0"/>
          <w:sz w:val="26"/>
          <w:u w:val="none"/>
        </w:rPr>
        <w:t>24</w:t>
      </w:r>
      <w:r>
        <w:rPr>
          <w:b/>
          <w:i w:val="0"/>
          <w:smallCaps w:val="0"/>
          <w:strike w:val="0"/>
          <w:sz w:val="26"/>
          <w:u w:val="none"/>
        </w:rPr>
        <w:t xml:space="preserve"> </w:t>
      </w:r>
      <w:r>
        <w:rPr>
          <w:b w:val="0"/>
          <w:i w:val="0"/>
          <w:smallCaps w:val="0"/>
          <w:strike w:val="0"/>
          <w:u w:val="none"/>
        </w:rPr>
        <w:t>[Dennis; May 26</w:t>
      </w:r>
      <w:r>
        <w:rPr>
          <w:b w:val="0"/>
          <w:i w:val="0"/>
          <w:smallCaps w:val="0"/>
          <w:strike w:val="0"/>
          <w:u w:val="none"/>
        </w:rPr>
        <w:t>; Judge C.A. Leedy Professor of Law and Director of the Center for Intellectual Property and Entrepreneurship at the University of Missouri School of Law</w:t>
      </w:r>
      <w:r>
        <w:rPr>
          <w:b w:val="0"/>
          <w:i w:val="0"/>
          <w:smallCaps w:val="0"/>
          <w:strike w:val="0"/>
          <w:u w:val="none"/>
        </w:rPr>
        <w:t>,</w:t>
      </w:r>
      <w:r>
        <w:rPr>
          <w:b w:val="0"/>
          <w:i w:val="0"/>
          <w:smallCaps w:val="0"/>
          <w:strike w:val="0"/>
          <w:u w:val="none"/>
        </w:rPr>
        <w:t xml:space="preserve"> BSE in mechanical engineering cum laude from Princeton University,</w:t>
      </w:r>
      <w:r>
        <w:rPr>
          <w:b w:val="0"/>
          <w:i w:val="0"/>
          <w:smallCaps w:val="0"/>
          <w:strike w:val="0"/>
          <w:u w:val="none"/>
        </w:rPr>
        <w:t xml:space="preserve"> </w:t>
      </w:r>
      <w:r>
        <w:rPr>
          <w:b w:val="0"/>
          <w:i w:val="0"/>
          <w:smallCaps w:val="0"/>
          <w:strike w:val="0"/>
          <w:u w:val="none"/>
        </w:rPr>
        <w:t>JD cum laude from the University of Chicago Law School. While at the University of Chicago, he was a Microsoft, Merck, &amp; Pfizer scholar, and a member of the Olin program in law and economics</w:t>
      </w:r>
      <w:r>
        <w:rPr>
          <w:b w:val="0"/>
          <w:i w:val="0"/>
          <w:smallCaps w:val="0"/>
          <w:strike w:val="0"/>
          <w:u w:val="none"/>
        </w:rPr>
        <w:t xml:space="preserve">; </w:t>
      </w:r>
      <w:r>
        <w:rPr>
          <w:b w:val="0"/>
          <w:i w:val="0"/>
          <w:smallCaps w:val="0"/>
          <w:strike w:val="0"/>
          <w:u w:val="none"/>
        </w:rPr>
        <w:t>Patently-O</w:t>
      </w:r>
      <w:r>
        <w:rPr>
          <w:b w:val="0"/>
          <w:i w:val="0"/>
          <w:smallCaps w:val="0"/>
          <w:strike w:val="0"/>
          <w:u w:val="none"/>
        </w:rPr>
        <w:t>, “</w:t>
      </w:r>
      <w:r>
        <w:rPr>
          <w:b w:val="0"/>
          <w:i w:val="0"/>
          <w:smallCaps w:val="0"/>
          <w:strike w:val="0"/>
          <w:u w:val="none"/>
        </w:rPr>
        <w:t>WIPO Adopts Treaty on Intellectual Property, Genetic Resources, and Associated Traditional Knowledge</w:t>
      </w:r>
      <w:r>
        <w:rPr>
          <w:b w:val="0"/>
          <w:i w:val="0"/>
          <w:smallCaps w:val="0"/>
          <w:strike w:val="0"/>
          <w:u w:val="none"/>
        </w:rPr>
        <w:t xml:space="preserve">,” </w:t>
      </w:r>
      <w:r>
        <w:rPr>
          <w:b w:val="0"/>
          <w:i w:val="0"/>
          <w:smallCaps w:val="0"/>
          <w:strike w:val="0"/>
          <w:u w:val="none"/>
        </w:rPr>
        <w:t>https://patentlyo.com/patent/2024/05/intellectual-associated-traditional.html</w:t>
      </w:r>
      <w:r>
        <w:rPr>
          <w:b w:val="0"/>
          <w:i w:val="0"/>
          <w:smallCaps w:val="0"/>
          <w:strike w:val="0"/>
          <w:u w:val="none"/>
        </w:rPr>
        <w:t>]</w:t>
      </w:r>
    </w:p>
    <w:p>
      <w:pPr>
        <w:spacing w:after="60"/>
      </w:pPr>
      <w:r>
        <w:rPr>
          <w:b w:val="0"/>
          <w:i w:val="0"/>
          <w:smallCaps w:val="0"/>
          <w:strike w:val="0"/>
          <w:sz w:val="16"/>
          <w:u w:val="none"/>
        </w:rPr>
        <w:t xml:space="preserve">For many years, </w:t>
      </w:r>
      <w:r>
        <w:rPr>
          <w:b/>
          <w:i w:val="0"/>
          <w:smallCaps w:val="0"/>
          <w:strike w:val="0"/>
          <w:sz w:val="22"/>
          <w:u w:val="single"/>
        </w:rPr>
        <w:t xml:space="preserve">there have been </w:t>
      </w:r>
      <w:r>
        <w:rPr>
          <w:b w:val="0"/>
          <w:i w:val="0"/>
          <w:smallCaps w:val="0"/>
          <w:strike w:val="0"/>
          <w:sz w:val="22"/>
          <w:u w:val="single"/>
        </w:rPr>
        <w:t>concerns about “biopiracy”</w:t>
      </w:r>
      <w:r>
        <w:rPr>
          <w:b/>
          <w:i w:val="0"/>
          <w:smallCaps w:val="0"/>
          <w:strike w:val="0"/>
          <w:sz w:val="16"/>
          <w:u w:val="none"/>
        </w:rPr>
        <w:t xml:space="preserve"> </w:t>
      </w:r>
      <w:r>
        <w:rPr>
          <w:b w:val="0"/>
          <w:i w:val="0"/>
          <w:smallCaps w:val="0"/>
          <w:strike w:val="0"/>
          <w:sz w:val="16"/>
          <w:u w:val="none"/>
        </w:rPr>
        <w:t xml:space="preserve">– </w:t>
      </w:r>
      <w:r>
        <w:rPr>
          <w:b/>
          <w:i w:val="0"/>
          <w:smallCaps w:val="0"/>
          <w:strike w:val="0"/>
          <w:sz w:val="22"/>
          <w:u w:val="single"/>
        </w:rPr>
        <w:t>the misappropriation of genetic resources (GR) and traditional knowledge (TK) from indigenous peoples and local communities,</w:t>
      </w:r>
      <w:r>
        <w:rPr>
          <w:b w:val="0"/>
          <w:i w:val="0"/>
          <w:smallCaps w:val="0"/>
          <w:strike w:val="0"/>
          <w:sz w:val="16"/>
          <w:u w:val="none"/>
        </w:rPr>
        <w:t xml:space="preserve"> often in developing countries. Biopiracy involves researchers or companies obtaining GR or TK, using it to develop commercial products like medicines, and obtaining patents without adequately compensating or getting permission from the original TK/GR holders.</w:t>
      </w:r>
    </w:p>
    <w:p>
      <w:pPr>
        <w:spacing w:after="60"/>
      </w:pPr>
      <w:r>
        <w:rPr>
          <w:b w:val="0"/>
          <w:i w:val="0"/>
          <w:smallCaps w:val="0"/>
          <w:strike w:val="0"/>
          <w:sz w:val="16"/>
          <w:u w:val="none"/>
        </w:rPr>
        <w:t>Some well-known examples of alleged biopiracy include: patents on wound-healing properties of turmeric, which had long been known in India; patents related to neem tree extracts, also used for centuries in India; Japanese and American patents on extracts of the African “Hoodia” cactus, traditional used by San people to stave off hunger; and a US patent on the Amazonian “ayahuasca” vine, considered sacred and used in ceremonies by indigenous peoples. You can see a Sean Connery look-alike doing this in my image below.</w:t>
      </w:r>
    </w:p>
    <w:p>
      <w:pPr>
        <w:spacing w:after="60"/>
      </w:pPr>
      <w:r>
        <w:rPr>
          <w:b w:val="0"/>
          <w:i w:val="0"/>
          <w:smallCaps w:val="0"/>
          <w:strike w:val="0"/>
          <w:sz w:val="16"/>
          <w:u w:val="none"/>
        </w:rPr>
        <w:t>W</w:t>
      </w:r>
      <w:r>
        <w:rPr>
          <w:b w:val="0"/>
          <w:i w:val="0"/>
          <w:smallCaps w:val="0"/>
          <w:strike w:val="0"/>
          <w:sz w:val="16"/>
          <w:u w:val="none"/>
        </w:rPr>
        <w:t>orld</w:t>
      </w:r>
      <w:r>
        <w:rPr>
          <w:b w:val="0"/>
          <w:i w:val="0"/>
          <w:smallCaps w:val="0"/>
          <w:strike w:val="0"/>
          <w:sz w:val="16"/>
          <w:u w:val="none"/>
        </w:rPr>
        <w:t xml:space="preserve"> Intellectual</w:t>
      </w:r>
      <w:r>
        <w:rPr>
          <w:b w:val="0"/>
          <w:i w:val="0"/>
          <w:smallCaps w:val="0"/>
          <w:strike w:val="0"/>
          <w:sz w:val="16"/>
          <w:u w:val="none"/>
        </w:rPr>
        <w:t xml:space="preserve"> </w:t>
      </w:r>
      <w:r>
        <w:rPr>
          <w:b w:val="0"/>
          <w:i w:val="0"/>
          <w:smallCaps w:val="0"/>
          <w:strike w:val="0"/>
          <w:sz w:val="16"/>
          <w:u w:val="none"/>
        </w:rPr>
        <w:t>P</w:t>
      </w:r>
      <w:r>
        <w:rPr>
          <w:b w:val="0"/>
          <w:i w:val="0"/>
          <w:smallCaps w:val="0"/>
          <w:strike w:val="0"/>
          <w:sz w:val="16"/>
          <w:u w:val="none"/>
        </w:rPr>
        <w:t xml:space="preserve">roperty </w:t>
      </w:r>
      <w:r>
        <w:rPr>
          <w:b w:val="0"/>
          <w:i w:val="0"/>
          <w:smallCaps w:val="0"/>
          <w:strike w:val="0"/>
          <w:sz w:val="16"/>
          <w:u w:val="none"/>
        </w:rPr>
        <w:t>O</w:t>
      </w:r>
      <w:r>
        <w:rPr>
          <w:b w:val="0"/>
          <w:i w:val="0"/>
          <w:smallCaps w:val="0"/>
          <w:strike w:val="0"/>
          <w:sz w:val="16"/>
          <w:u w:val="none"/>
        </w:rPr>
        <w:t>rganization (</w:t>
      </w:r>
      <w:r>
        <w:rPr>
          <w:b w:val="0"/>
          <w:i w:val="0"/>
          <w:smallCaps w:val="0"/>
          <w:strike w:val="0"/>
          <w:sz w:val="22"/>
          <w:u w:val="single"/>
        </w:rPr>
        <w:t>WIPO</w:t>
      </w:r>
      <w:r>
        <w:rPr>
          <w:b/>
          <w:i w:val="0"/>
          <w:smallCaps w:val="0"/>
          <w:strike w:val="0"/>
          <w:sz w:val="16"/>
          <w:u w:val="none"/>
        </w:rPr>
        <w:t>)</w:t>
      </w:r>
      <w:r>
        <w:rPr>
          <w:b w:val="0"/>
          <w:i w:val="0"/>
          <w:smallCaps w:val="0"/>
          <w:strike w:val="0"/>
          <w:sz w:val="16"/>
          <w:u w:val="none"/>
        </w:rPr>
        <w:t xml:space="preserve"> </w:t>
      </w:r>
      <w:r>
        <w:rPr>
          <w:b/>
          <w:i w:val="0"/>
          <w:smallCaps w:val="0"/>
          <w:strike w:val="0"/>
          <w:sz w:val="22"/>
          <w:u w:val="single"/>
        </w:rPr>
        <w:t xml:space="preserve">member states have </w:t>
      </w:r>
      <w:r>
        <w:rPr>
          <w:b w:val="0"/>
          <w:i w:val="0"/>
          <w:smallCaps w:val="0"/>
          <w:strike w:val="0"/>
          <w:sz w:val="22"/>
          <w:u w:val="single"/>
        </w:rPr>
        <w:t>adopted a groundbreaking new treaty addressing patent rights in</w:t>
      </w:r>
      <w:r>
        <w:rPr>
          <w:b w:val="0"/>
          <w:i w:val="0"/>
          <w:smallCaps w:val="0"/>
          <w:strike w:val="0"/>
          <w:sz w:val="16"/>
          <w:u w:val="none"/>
        </w:rPr>
        <w:t xml:space="preserve"> the context of </w:t>
      </w:r>
      <w:r>
        <w:rPr>
          <w:b/>
          <w:i w:val="0"/>
          <w:smallCaps w:val="0"/>
          <w:strike w:val="0"/>
          <w:sz w:val="22"/>
          <w:u w:val="single"/>
        </w:rPr>
        <w:t xml:space="preserve">these </w:t>
      </w:r>
      <w:r>
        <w:rPr>
          <w:b w:val="0"/>
          <w:i w:val="0"/>
          <w:smallCaps w:val="0"/>
          <w:strike w:val="0"/>
          <w:sz w:val="22"/>
          <w:u w:val="single"/>
        </w:rPr>
        <w:t>genetic resources</w:t>
      </w:r>
      <w:r>
        <w:rPr>
          <w:b/>
          <w:i w:val="0"/>
          <w:smallCaps w:val="0"/>
          <w:strike w:val="0"/>
          <w:sz w:val="22"/>
          <w:u w:val="single"/>
        </w:rPr>
        <w:t xml:space="preserve"> </w:t>
      </w:r>
      <w:r>
        <w:rPr>
          <w:b w:val="0"/>
          <w:i w:val="0"/>
          <w:smallCaps w:val="0"/>
          <w:strike w:val="0"/>
          <w:sz w:val="22"/>
          <w:u w:val="single"/>
        </w:rPr>
        <w:t>and traditional knowledge</w:t>
      </w:r>
      <w:r>
        <w:rPr>
          <w:b/>
          <w:i w:val="0"/>
          <w:smallCaps w:val="0"/>
          <w:strike w:val="0"/>
          <w:sz w:val="22"/>
          <w:u w:val="single"/>
        </w:rPr>
        <w:t xml:space="preserve"> associated with genetic resources</w:t>
      </w:r>
      <w:r>
        <w:rPr>
          <w:b w:val="0"/>
          <w:i w:val="0"/>
          <w:smallCaps w:val="0"/>
          <w:strike w:val="0"/>
          <w:sz w:val="16"/>
          <w:u w:val="none"/>
        </w:rPr>
        <w:t xml:space="preserve">. The </w:t>
      </w:r>
      <w:r>
        <w:rPr>
          <w:b/>
          <w:i w:val="0"/>
          <w:smallCaps w:val="0"/>
          <w:strike w:val="0"/>
          <w:sz w:val="22"/>
          <w:u w:val="single"/>
        </w:rPr>
        <w:t>WIPO Treaty on Intellectual Property</w:t>
      </w:r>
      <w:r>
        <w:rPr>
          <w:b w:val="0"/>
          <w:i w:val="0"/>
          <w:smallCaps w:val="0"/>
          <w:strike w:val="0"/>
          <w:sz w:val="16"/>
          <w:u w:val="none"/>
        </w:rPr>
        <w:t xml:space="preserve">, </w:t>
      </w:r>
      <w:r>
        <w:rPr>
          <w:b/>
          <w:i w:val="0"/>
          <w:smallCaps w:val="0"/>
          <w:strike w:val="0"/>
          <w:sz w:val="22"/>
          <w:u w:val="single"/>
        </w:rPr>
        <w:t>Genetic Resources, and Associated Traditional Knowledge, finalized on May 24, 2024</w:t>
      </w:r>
      <w:r>
        <w:rPr>
          <w:b w:val="0"/>
          <w:i w:val="0"/>
          <w:smallCaps w:val="0"/>
          <w:strike w:val="0"/>
          <w:sz w:val="16"/>
          <w:u w:val="none"/>
        </w:rPr>
        <w:t xml:space="preserve">, </w:t>
      </w:r>
      <w:r>
        <w:rPr>
          <w:b/>
          <w:i w:val="0"/>
          <w:smallCaps w:val="0"/>
          <w:strike w:val="0"/>
          <w:sz w:val="22"/>
          <w:u w:val="single"/>
        </w:rPr>
        <w:t xml:space="preserve">marks </w:t>
      </w:r>
      <w:r>
        <w:rPr>
          <w:b w:val="0"/>
          <w:i w:val="0"/>
          <w:smallCaps w:val="0"/>
          <w:strike w:val="0"/>
          <w:sz w:val="22"/>
          <w:u w:val="single"/>
        </w:rPr>
        <w:t>the first WIPO treaty in over a decade</w:t>
      </w:r>
      <w:r>
        <w:rPr>
          <w:b w:val="0"/>
          <w:i w:val="0"/>
          <w:smallCaps w:val="0"/>
          <w:strike w:val="0"/>
          <w:sz w:val="16"/>
          <w:u w:val="none"/>
        </w:rPr>
        <w:t xml:space="preserve"> and </w:t>
      </w:r>
      <w:r>
        <w:rPr>
          <w:b/>
          <w:i w:val="0"/>
          <w:smallCaps w:val="0"/>
          <w:strike w:val="0"/>
          <w:sz w:val="16"/>
          <w:u w:val="none"/>
        </w:rPr>
        <w:t xml:space="preserve">the </w:t>
      </w:r>
      <w:r>
        <w:rPr>
          <w:b w:val="0"/>
          <w:i w:val="0"/>
          <w:smallCaps w:val="0"/>
          <w:strike w:val="0"/>
          <w:sz w:val="22"/>
          <w:u w:val="single"/>
        </w:rPr>
        <w:t>first to specifically address the rights of Indigenous Peoples and local communities</w:t>
      </w:r>
      <w:r>
        <w:rPr>
          <w:b w:val="0"/>
          <w:i w:val="0"/>
          <w:smallCaps w:val="0"/>
          <w:strike w:val="0"/>
          <w:sz w:val="16"/>
          <w:u w:val="none"/>
        </w:rPr>
        <w:t xml:space="preserve">. This </w:t>
      </w:r>
      <w:r>
        <w:rPr>
          <w:b/>
          <w:i w:val="0"/>
          <w:smallCaps w:val="0"/>
          <w:strike w:val="0"/>
          <w:sz w:val="22"/>
          <w:u w:val="single"/>
        </w:rPr>
        <w:t xml:space="preserve">historic agreement aims to </w:t>
      </w:r>
      <w:r>
        <w:rPr>
          <w:b w:val="0"/>
          <w:i w:val="0"/>
          <w:smallCaps w:val="0"/>
          <w:strike w:val="0"/>
          <w:sz w:val="22"/>
          <w:u w:val="single"/>
        </w:rPr>
        <w:t>enhance transparency</w:t>
      </w:r>
      <w:r>
        <w:rPr>
          <w:b w:val="0"/>
          <w:i w:val="0"/>
          <w:smallCaps w:val="0"/>
          <w:strike w:val="0"/>
          <w:sz w:val="16"/>
          <w:u w:val="none"/>
        </w:rPr>
        <w:t xml:space="preserve"> by </w:t>
      </w:r>
      <w:r>
        <w:rPr>
          <w:b/>
          <w:i w:val="0"/>
          <w:smallCaps w:val="0"/>
          <w:strike w:val="0"/>
          <w:sz w:val="22"/>
          <w:u w:val="single"/>
        </w:rPr>
        <w:t xml:space="preserve">requiring patent applicants to </w:t>
      </w:r>
      <w:r>
        <w:rPr>
          <w:b w:val="0"/>
          <w:i w:val="0"/>
          <w:smallCaps w:val="0"/>
          <w:strike w:val="0"/>
          <w:sz w:val="22"/>
          <w:u w:val="single"/>
        </w:rPr>
        <w:t>disclose the country of origin of any Genetic Resources</w:t>
      </w:r>
      <w:r>
        <w:rPr>
          <w:b/>
          <w:i w:val="0"/>
          <w:smallCaps w:val="0"/>
          <w:strike w:val="0"/>
          <w:sz w:val="22"/>
          <w:u w:val="single"/>
        </w:rPr>
        <w:t xml:space="preserve"> and the “</w:t>
      </w:r>
      <w:r>
        <w:rPr>
          <w:b w:val="0"/>
          <w:i w:val="0"/>
          <w:smallCaps w:val="0"/>
          <w:strike w:val="0"/>
          <w:sz w:val="22"/>
          <w:u w:val="single"/>
        </w:rPr>
        <w:t>Indigenous Peoples or local community</w:t>
      </w:r>
      <w:r>
        <w:rPr>
          <w:b/>
          <w:i w:val="0"/>
          <w:smallCaps w:val="0"/>
          <w:strike w:val="0"/>
          <w:sz w:val="22"/>
          <w:u w:val="single"/>
        </w:rPr>
        <w:t>”  who provided any Associated Traditional Knowledge</w:t>
      </w:r>
      <w:r>
        <w:rPr>
          <w:b w:val="0"/>
          <w:i w:val="0"/>
          <w:smallCaps w:val="0"/>
          <w:strike w:val="0"/>
          <w:sz w:val="16"/>
          <w:u w:val="none"/>
        </w:rPr>
        <w:t>. The disclosure requirement is triggered when a “claimed invention” is “based on” the GR or TK.  The treaty only becomes effective once 15 eligible member nations ratify the agreement.   The agreement here also relates directly to the UN Convention on Biological Diversity (CBD), adopted in 1992, establishing that states have sovereign rights over their GR, and that access to GR should be subject to prior informed consent and equitable benefit-sharing.</w:t>
      </w:r>
    </w:p>
    <w:p>
      <w:pPr>
        <w:spacing w:after="60"/>
      </w:pPr>
      <w:r>
        <w:rPr>
          <w:b w:val="0"/>
          <w:i w:val="0"/>
          <w:smallCaps w:val="0"/>
          <w:strike w:val="0"/>
          <w:sz w:val="16"/>
          <w:u w:val="none"/>
        </w:rPr>
        <w:t xml:space="preserve">We know that </w:t>
      </w:r>
      <w:r>
        <w:rPr>
          <w:b/>
          <w:i w:val="0"/>
          <w:smallCaps w:val="0"/>
          <w:strike w:val="0"/>
          <w:sz w:val="22"/>
          <w:u w:val="single"/>
        </w:rPr>
        <w:t>US patentees have a duty to disclose information material to patentability</w:t>
      </w:r>
      <w:r>
        <w:rPr>
          <w:b w:val="0"/>
          <w:i w:val="0"/>
          <w:smallCaps w:val="0"/>
          <w:strike w:val="0"/>
          <w:sz w:val="16"/>
          <w:u w:val="none"/>
        </w:rPr>
        <w:t xml:space="preserve">, but </w:t>
      </w:r>
      <w:r>
        <w:rPr>
          <w:b/>
          <w:i w:val="0"/>
          <w:smallCaps w:val="0"/>
          <w:strike w:val="0"/>
          <w:sz w:val="22"/>
          <w:u w:val="single"/>
        </w:rPr>
        <w:t xml:space="preserve">this agreement </w:t>
      </w:r>
      <w:r>
        <w:rPr>
          <w:b w:val="0"/>
          <w:i w:val="0"/>
          <w:smallCaps w:val="0"/>
          <w:strike w:val="0"/>
          <w:sz w:val="16"/>
          <w:u w:val="none"/>
        </w:rPr>
        <w:t xml:space="preserve">takes things a substantial step further </w:t>
      </w:r>
      <w:r>
        <w:rPr>
          <w:b/>
          <w:i w:val="0"/>
          <w:smallCaps w:val="0"/>
          <w:strike w:val="0"/>
          <w:sz w:val="22"/>
          <w:u w:val="single"/>
        </w:rPr>
        <w:t>– requiring additional disclosures when the invention is based upon a GR or associated TK.</w:t>
      </w:r>
    </w:p>
    <w:p>
      <w:pPr>
        <w:spacing w:after="60"/>
      </w:pPr>
      <w:r>
        <w:rPr>
          <w:b w:val="0"/>
          <w:i w:val="0"/>
          <w:smallCaps w:val="0"/>
          <w:strike w:val="0"/>
          <w:sz w:val="16"/>
          <w:u w:val="none"/>
        </w:rPr>
        <w:t>Some definitions for the new treaty:</w:t>
      </w:r>
    </w:p>
    <w:p>
      <w:pPr>
        <w:spacing w:after="60"/>
      </w:pPr>
      <w:r>
        <w:rPr>
          <w:b w:val="0"/>
          <w:i w:val="0"/>
          <w:smallCaps w:val="0"/>
          <w:strike w:val="0"/>
          <w:sz w:val="16"/>
          <w:u w:val="none"/>
        </w:rPr>
        <w:t>Genetic Resources (GR):  “Genetic material of actual or potential value” but not including “human genetic resources.”  The definition generally includes material, regardless of origin, “containing functional units of heredity.”</w:t>
      </w:r>
    </w:p>
    <w:p>
      <w:pPr>
        <w:spacing w:after="60"/>
      </w:pPr>
      <w:r>
        <w:rPr>
          <w:b w:val="0"/>
          <w:i w:val="0"/>
          <w:smallCaps w:val="0"/>
          <w:strike w:val="0"/>
          <w:sz w:val="16"/>
          <w:u w:val="none"/>
        </w:rPr>
        <w:t>Traditional Knowledge (TK) associated with Genetic Resources: This is not expressly defined within the agreement, but TK has been defined previously by WIPO to include “knowledge, know-how, skills and practices that are developed, sustained and passed on from generation to generation within a community, often forming part of its cultural or spiritual identity,” including know-how, practices, skills, and innovations.</w:t>
      </w:r>
    </w:p>
    <w:p>
      <w:pPr>
        <w:spacing w:after="60"/>
      </w:pPr>
      <w:r>
        <w:rPr>
          <w:b w:val="0"/>
          <w:i w:val="0"/>
          <w:smallCaps w:val="0"/>
          <w:strike w:val="0"/>
          <w:sz w:val="16"/>
          <w:u w:val="none"/>
        </w:rPr>
        <w:t>Based on: A claimed invention is only “based on” GR or TK if they “must have been necessary for the claimed invention” and, “the claimed invention must depend on the specific properties of the genetic resources and/or on the traditional knowledge.”  In this final version, the disclosure requirement was significantly weakened — an earlier draft would have required disclosure if the GR/TK was “material to development of the claimed invention.”</w:t>
      </w:r>
    </w:p>
    <w:p>
      <w:pPr>
        <w:spacing w:after="60"/>
      </w:pPr>
      <w:r>
        <w:rPr>
          <w:b w:val="0"/>
          <w:i w:val="0"/>
          <w:smallCaps w:val="0"/>
          <w:strike w:val="0"/>
          <w:sz w:val="16"/>
          <w:u w:val="none"/>
        </w:rPr>
        <w:t xml:space="preserve">Disclosure Requirement: The key provision is </w:t>
      </w:r>
      <w:r>
        <w:rPr>
          <w:b/>
          <w:i w:val="0"/>
          <w:smallCaps w:val="0"/>
          <w:strike w:val="0"/>
          <w:sz w:val="22"/>
          <w:u w:val="single"/>
        </w:rPr>
        <w:t xml:space="preserve">that </w:t>
      </w:r>
      <w:r>
        <w:rPr>
          <w:b w:val="0"/>
          <w:i w:val="0"/>
          <w:smallCaps w:val="0"/>
          <w:strike w:val="0"/>
          <w:sz w:val="22"/>
          <w:u w:val="single"/>
        </w:rPr>
        <w:t>each nation</w:t>
      </w:r>
      <w:r>
        <w:rPr>
          <w:b/>
          <w:i w:val="0"/>
          <w:smallCaps w:val="0"/>
          <w:strike w:val="0"/>
          <w:sz w:val="22"/>
          <w:u w:val="single"/>
        </w:rPr>
        <w:t xml:space="preserve"> (or EU) must </w:t>
      </w:r>
      <w:r>
        <w:rPr>
          <w:b w:val="0"/>
          <w:i w:val="0"/>
          <w:smallCaps w:val="0"/>
          <w:strike w:val="0"/>
          <w:sz w:val="22"/>
          <w:u w:val="single"/>
        </w:rPr>
        <w:t>require patent applicants to disclose</w:t>
      </w:r>
      <w:r>
        <w:rPr>
          <w:b/>
          <w:i w:val="0"/>
          <w:smallCaps w:val="0"/>
          <w:strike w:val="0"/>
          <w:sz w:val="22"/>
          <w:u w:val="single"/>
        </w:rPr>
        <w:t xml:space="preserve"> whenever inventions are based on GRs or associated TK.</w:t>
      </w:r>
      <w:r>
        <w:rPr>
          <w:b w:val="0"/>
          <w:i w:val="0"/>
          <w:smallCaps w:val="0"/>
          <w:strike w:val="0"/>
          <w:sz w:val="16"/>
          <w:u w:val="none"/>
        </w:rPr>
        <w:t xml:space="preserve"> Under Article 3, </w:t>
      </w:r>
      <w:r>
        <w:rPr>
          <w:b/>
          <w:i w:val="0"/>
          <w:smallCaps w:val="0"/>
          <w:strike w:val="0"/>
          <w:sz w:val="22"/>
          <w:u w:val="single"/>
        </w:rPr>
        <w:t xml:space="preserve">contracting parties must require applicants to disclose the </w:t>
      </w:r>
      <w:r>
        <w:rPr>
          <w:b w:val="0"/>
          <w:i w:val="0"/>
          <w:smallCaps w:val="0"/>
          <w:strike w:val="0"/>
          <w:sz w:val="22"/>
          <w:u w:val="single"/>
        </w:rPr>
        <w:t>country of origin or source of the GRs and the Indigenous Peoples or local community who provided the associated TK</w:t>
      </w:r>
      <w:r>
        <w:rPr>
          <w:b w:val="0"/>
          <w:i w:val="0"/>
          <w:smallCaps w:val="0"/>
          <w:strike w:val="0"/>
          <w:sz w:val="16"/>
          <w:u w:val="none"/>
        </w:rPr>
        <w:t>. This disclosure requirement applies to all applicants seeking patents within a contracting party’s jurisdiction, including foreign applicants not subject to similar requirements in their home jurisdictions.</w:t>
      </w:r>
    </w:p>
    <w:p>
      <w:pPr>
        <w:spacing w:after="60"/>
      </w:pPr>
      <w:r>
        <w:rPr>
          <w:b w:val="0"/>
          <w:i w:val="0"/>
          <w:smallCaps w:val="0"/>
          <w:strike w:val="0"/>
          <w:sz w:val="16"/>
          <w:u w:val="none"/>
        </w:rPr>
        <w:t xml:space="preserve">Remedy for Failure to Disclose: </w:t>
      </w:r>
      <w:r>
        <w:rPr>
          <w:b/>
          <w:i w:val="0"/>
          <w:smallCaps w:val="0"/>
          <w:strike w:val="0"/>
          <w:sz w:val="22"/>
          <w:u w:val="single"/>
        </w:rPr>
        <w:t xml:space="preserve">The treaty indicates that each country should create an effective and proportional sanction for situations </w:t>
      </w:r>
      <w:r>
        <w:rPr>
          <w:b w:val="0"/>
          <w:i w:val="0"/>
          <w:smallCaps w:val="0"/>
          <w:strike w:val="0"/>
          <w:sz w:val="22"/>
          <w:u w:val="single"/>
        </w:rPr>
        <w:t>where a party fails to disclose</w:t>
      </w:r>
      <w:r>
        <w:rPr>
          <w:b w:val="0"/>
          <w:i w:val="0"/>
          <w:smallCaps w:val="0"/>
          <w:strike w:val="0"/>
          <w:sz w:val="16"/>
          <w:u w:val="none"/>
        </w:rPr>
        <w:t xml:space="preserve">.  However, the treaty indicates that the law cannot “revoke, invalidate, or render unenforceable” an issued patent “solely on the basis of an applicant’s failure to disclose” absent additional evidence of “fraudulent conduct or intent.”  </w:t>
      </w:r>
      <w:r>
        <w:rPr>
          <w:b/>
          <w:i w:val="0"/>
          <w:smallCaps w:val="0"/>
          <w:strike w:val="0"/>
          <w:sz w:val="22"/>
          <w:u w:val="single"/>
        </w:rPr>
        <w:t xml:space="preserve">A potential result is </w:t>
      </w:r>
      <w:r>
        <w:rPr>
          <w:b w:val="0"/>
          <w:i w:val="0"/>
          <w:smallCaps w:val="0"/>
          <w:strike w:val="0"/>
          <w:sz w:val="22"/>
          <w:u w:val="single"/>
        </w:rPr>
        <w:t>some form of compulsory license or</w:t>
      </w:r>
      <w:r>
        <w:rPr>
          <w:b/>
          <w:i w:val="0"/>
          <w:smallCaps w:val="0"/>
          <w:strike w:val="0"/>
          <w:sz w:val="22"/>
          <w:u w:val="single"/>
        </w:rPr>
        <w:t xml:space="preserve"> perhaps </w:t>
      </w:r>
      <w:r>
        <w:rPr>
          <w:b w:val="0"/>
          <w:i w:val="0"/>
          <w:smallCaps w:val="0"/>
          <w:strike w:val="0"/>
          <w:sz w:val="22"/>
          <w:u w:val="single"/>
        </w:rPr>
        <w:t>a profit sharing requirement</w:t>
      </w:r>
      <w:r>
        <w:rPr>
          <w:b/>
          <w:i w:val="0"/>
          <w:smallCaps w:val="0"/>
          <w:strike w:val="0"/>
          <w:sz w:val="22"/>
          <w:u w:val="single"/>
        </w:rPr>
        <w:t>.</w:t>
      </w:r>
      <w:r>
        <w:rPr>
          <w:b w:val="0"/>
          <w:i w:val="0"/>
          <w:smallCaps w:val="0"/>
          <w:strike w:val="0"/>
          <w:sz w:val="16"/>
          <w:u w:val="none"/>
        </w:rPr>
        <w:t xml:space="preserve">  In addition, the obligations are not retroactive, meaning they do not apply to patent applications filed prior to the treaty’s entry into force.  However, the treaty does not indicate whether the non-retroactive clause applies to the priority filing date or to the actual national stage or continuation filing date.</w:t>
      </w:r>
    </w:p>
    <w:p>
      <w:pPr>
        <w:spacing w:after="60"/>
      </w:pPr>
      <w:r>
        <w:rPr>
          <w:b w:val="0"/>
          <w:i w:val="0"/>
          <w:smallCaps w:val="0"/>
          <w:strike w:val="0"/>
          <w:sz w:val="16"/>
          <w:u w:val="none"/>
        </w:rPr>
        <w:t xml:space="preserve">Information Systems and Relationship with Other Agreements: </w:t>
      </w:r>
      <w:r>
        <w:rPr>
          <w:b/>
          <w:i w:val="0"/>
          <w:smallCaps w:val="0"/>
          <w:strike w:val="0"/>
          <w:sz w:val="22"/>
          <w:u w:val="single"/>
        </w:rPr>
        <w:t xml:space="preserve">The </w:t>
      </w:r>
      <w:r>
        <w:rPr>
          <w:b w:val="0"/>
          <w:i w:val="0"/>
          <w:smallCaps w:val="0"/>
          <w:strike w:val="0"/>
          <w:sz w:val="22"/>
          <w:u w:val="single"/>
        </w:rPr>
        <w:t>treaty allows</w:t>
      </w:r>
      <w:r>
        <w:rPr>
          <w:b/>
          <w:i w:val="0"/>
          <w:smallCaps w:val="0"/>
          <w:strike w:val="0"/>
          <w:sz w:val="22"/>
          <w:u w:val="single"/>
        </w:rPr>
        <w:t xml:space="preserve"> (but does not require)  contracting parties to establish </w:t>
      </w:r>
      <w:r>
        <w:rPr>
          <w:b w:val="0"/>
          <w:i w:val="0"/>
          <w:smallCaps w:val="0"/>
          <w:strike w:val="0"/>
          <w:sz w:val="22"/>
          <w:u w:val="single"/>
        </w:rPr>
        <w:t>information systems,</w:t>
      </w:r>
      <w:r>
        <w:rPr>
          <w:b/>
          <w:i w:val="0"/>
          <w:smallCaps w:val="0"/>
          <w:strike w:val="0"/>
          <w:sz w:val="22"/>
          <w:u w:val="single"/>
        </w:rPr>
        <w:t xml:space="preserve"> </w:t>
      </w:r>
      <w:r>
        <w:rPr>
          <w:b w:val="0"/>
          <w:i w:val="0"/>
          <w:smallCaps w:val="0"/>
          <w:strike w:val="0"/>
          <w:sz w:val="22"/>
          <w:u w:val="single"/>
        </w:rPr>
        <w:t>such as databases, for GRs and associated TK, in consultation with Indigenous Peoples, local communities</w:t>
      </w:r>
      <w:r>
        <w:rPr>
          <w:b/>
          <w:i w:val="0"/>
          <w:smallCaps w:val="0"/>
          <w:strike w:val="0"/>
          <w:sz w:val="22"/>
          <w:u w:val="single"/>
        </w:rPr>
        <w:t xml:space="preserve">, and other stakeholders. </w:t>
      </w:r>
      <w:r>
        <w:rPr>
          <w:b w:val="0"/>
          <w:i w:val="0"/>
          <w:smallCaps w:val="0"/>
          <w:strike w:val="0"/>
          <w:sz w:val="16"/>
          <w:u w:val="none"/>
        </w:rPr>
        <w:t>These information systems should be accessible to patent offices for search and examination purposes, subject to appropriate safeguards. The treaty also emphasizes its mutually supportive implementation with other relevant international agreements.</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