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It’s not plan plus - licensing requirements change usage but maintain authorization rather than eliminating </w:t>
      </w:r>
      <w:r>
        <w:rPr>
          <w:b/>
          <w:i w:val="0"/>
          <w:smallCaps w:val="0"/>
          <w:strike w:val="0"/>
          <w:sz w:val="26"/>
          <w:u w:val="none"/>
        </w:rPr>
        <w:t>use entirely.</w:t>
      </w:r>
    </w:p>
    <w:p>
      <w:pPr>
        <w:spacing w:after="80"/>
      </w:pPr>
      <w:r>
        <w:rPr>
          <w:b/>
          <w:i w:val="0"/>
          <w:smallCaps w:val="0"/>
          <w:strike w:val="0"/>
          <w:sz w:val="26"/>
          <w:u w:val="none"/>
        </w:rPr>
        <w:t xml:space="preserve">EU </w:t>
      </w:r>
      <w:r>
        <w:rPr>
          <w:b/>
          <w:i w:val="0"/>
          <w:smallCaps w:val="0"/>
          <w:strike w:val="0"/>
          <w:sz w:val="26"/>
          <w:u w:val="none"/>
        </w:rPr>
        <w:t>Commision</w:t>
      </w:r>
      <w:r>
        <w:rPr>
          <w:b/>
          <w:i w:val="0"/>
          <w:smallCaps w:val="0"/>
          <w:strike w:val="0"/>
          <w:sz w:val="26"/>
          <w:u w:val="none"/>
        </w:rPr>
        <w:t xml:space="preserve"> 23</w:t>
      </w:r>
      <w:r>
        <w:rPr>
          <w:b w:val="0"/>
          <w:i w:val="0"/>
          <w:smallCaps w:val="0"/>
          <w:strike w:val="0"/>
          <w:sz w:val="22"/>
          <w:u w:val="none"/>
        </w:rPr>
        <w:t xml:space="preserve"> (“Proposal for a Council Decision on the conclusion, on behalf of the European Union, of the Interim Agreement on Trade between the European Union and the Republic of Chile” Brussels, 5.7.2023 COM(2023) 435 final, European Commission </w:t>
      </w:r>
      <w:r>
        <w:rPr>
          <w:b w:val="0"/>
          <w:i w:val="0"/>
          <w:smallCaps w:val="0"/>
          <w:strike w:val="0"/>
          <w:sz w:val="22"/>
          <w:u w:val="none"/>
        </w:rPr>
        <w:t>) RIP</w:t>
      </w:r>
    </w:p>
    <w:p>
      <w:pPr>
        <w:spacing w:after="60"/>
      </w:pPr>
      <w:r>
        <w:rPr>
          <w:b w:val="0"/>
          <w:i w:val="0"/>
          <w:smallCaps w:val="0"/>
          <w:strike w:val="0"/>
          <w:sz w:val="22"/>
          <w:u w:val="single"/>
        </w:rPr>
        <w:t>"licensing requirements" means substantive requirements</w:t>
      </w:r>
      <w:r>
        <w:rPr>
          <w:b w:val="0"/>
          <w:i w:val="0"/>
          <w:smallCaps w:val="0"/>
          <w:strike w:val="0"/>
          <w:sz w:val="22"/>
          <w:u w:val="none"/>
        </w:rPr>
        <w:t xml:space="preserve">, other than qualification requirements, with which a natural or a juridical person is required </w:t>
      </w:r>
      <w:r>
        <w:rPr>
          <w:b w:val="0"/>
          <w:i w:val="0"/>
          <w:smallCaps w:val="0"/>
          <w:strike w:val="0"/>
          <w:sz w:val="22"/>
          <w:u w:val="single"/>
        </w:rPr>
        <w:t xml:space="preserve">to comply in order to obtain, amend or renew an </w:t>
      </w:r>
      <w:r>
        <w:rPr>
          <w:b w:val="0"/>
          <w:i w:val="0"/>
          <w:smallCaps w:val="0"/>
          <w:strike w:val="0"/>
          <w:sz w:val="22"/>
          <w:u w:val="single"/>
        </w:rPr>
        <w:t>authorisation</w:t>
      </w:r>
      <w:r>
        <w:rPr>
          <w:b w:val="0"/>
          <w:i w:val="0"/>
          <w:smallCaps w:val="0"/>
          <w:strike w:val="0"/>
          <w:sz w:val="22"/>
          <w:u w:val="single"/>
        </w:rPr>
        <w:t>;</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