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 </w:t>
      </w:r>
      <w:r>
        <w:rPr>
          <w:b/>
          <w:i w:val="0"/>
          <w:smallCaps w:val="0"/>
          <w:strike w:val="0"/>
          <w:sz w:val="26"/>
          <w:u w:val="single"/>
        </w:rPr>
        <w:t>Signaling</w:t>
      </w:r>
      <w:r>
        <w:rPr>
          <w:b/>
          <w:i w:val="0"/>
          <w:smallCaps w:val="0"/>
          <w:strike w:val="0"/>
          <w:sz w:val="26"/>
          <w:u w:val="none"/>
        </w:rPr>
        <w:t xml:space="preserve"> – </w:t>
      </w:r>
      <w:r>
        <w:rPr>
          <w:b/>
          <w:i w:val="0"/>
          <w:smallCaps w:val="0"/>
          <w:strike w:val="0"/>
          <w:sz w:val="26"/>
          <w:u w:val="single"/>
        </w:rPr>
        <w:t>critical</w:t>
      </w:r>
      <w:r>
        <w:rPr>
          <w:b/>
          <w:i w:val="0"/>
          <w:smallCaps w:val="0"/>
          <w:strike w:val="0"/>
          <w:sz w:val="26"/>
          <w:u w:val="none"/>
        </w:rPr>
        <w:t xml:space="preserve"> for employment, commercialization, and growth</w:t>
      </w:r>
      <w:r>
        <w:rPr>
          <w:b w:val="0"/>
          <w:i w:val="0"/>
          <w:smallCaps w:val="0"/>
          <w:strike w:val="0"/>
          <w:sz w:val="26"/>
          <w:u w:val="none"/>
        </w:rPr>
        <w:t xml:space="preserve"> – </w:t>
      </w:r>
      <w:r>
        <w:rPr>
          <w:b w:val="0"/>
          <w:i w:val="0"/>
          <w:smallCaps w:val="0"/>
          <w:strike w:val="0"/>
          <w:sz w:val="26"/>
          <w:u w:val="single"/>
        </w:rPr>
        <w:t>consensus</w:t>
      </w:r>
      <w:r>
        <w:rPr>
          <w:b w:val="0"/>
          <w:i w:val="0"/>
          <w:smallCaps w:val="0"/>
          <w:strike w:val="0"/>
          <w:sz w:val="26"/>
          <w:u w:val="none"/>
        </w:rPr>
        <w:t xml:space="preserve"> of studies votes AFF</w:t>
      </w:r>
      <w:r>
        <w:rPr>
          <w:b/>
          <w:i w:val="0"/>
          <w:smallCaps w:val="0"/>
          <w:strike w:val="0"/>
          <w:sz w:val="26"/>
          <w:u w:val="none"/>
        </w:rPr>
        <w:t>.</w:t>
      </w:r>
    </w:p>
    <w:p>
      <w:pPr>
        <w:spacing w:after="80"/>
      </w:pPr>
      <w:r>
        <w:rPr>
          <w:b/>
          <w:i w:val="0"/>
          <w:smallCaps w:val="0"/>
          <w:strike w:val="0"/>
          <w:sz w:val="26"/>
          <w:u w:val="none"/>
        </w:rPr>
        <w:t>Hirschmann &amp; Block 22</w:t>
      </w:r>
      <w:r>
        <w:rPr>
          <w:b w:val="0"/>
          <w:i w:val="0"/>
          <w:smallCaps w:val="0"/>
          <w:strike w:val="0"/>
          <w:u w:val="none"/>
        </w:rPr>
        <w:t xml:space="preserve"> </w:t>
      </w:r>
      <w:r>
        <w:rPr>
          <w:b w:val="0"/>
          <w:i w:val="0"/>
          <w:smallCaps w:val="0"/>
          <w:strike w:val="0"/>
          <w:sz w:val="16"/>
          <w:u w:val="none"/>
        </w:rPr>
        <w:t>– Mirko Hirschmann &amp; Joern Block (Dr. Mirko Hirschmann – Research Associate at EINT, Ph.D in Business Administration from Trier University, specializes in social innovation, intellectual property rights and hybrid growth of new ventures; Dr. Joern Block – Professor in Management at Trier University, Ph.D in Applied Economics from Trier University, specializes in entrepreneurship and innovation management), 11-20-2023, "Trademarks and how they relate to the sustainability and economic outcomes of social startups " Journal of Cleaner Production, https://pure.eur.nl/ws/portalfiles/portal/94101879/1_s2.0_S0959652622038926_main.pdf /$antiP/</w:t>
      </w:r>
    </w:p>
    <w:p>
      <w:pPr>
        <w:spacing w:after="60"/>
      </w:pPr>
      <w:r>
        <w:rPr>
          <w:b w:val="0"/>
          <w:i w:val="0"/>
          <w:smallCaps w:val="0"/>
          <w:strike w:val="0"/>
          <w:sz w:val="16"/>
          <w:u w:val="none"/>
        </w:rPr>
        <w:t xml:space="preserve">Our results demonstrate </w:t>
      </w:r>
      <w:r>
        <w:rPr>
          <w:b w:val="0"/>
          <w:i w:val="0"/>
          <w:smallCaps w:val="0"/>
          <w:strike w:val="0"/>
          <w:u w:val="single"/>
        </w:rPr>
        <w:t xml:space="preserve">that IPRs in the form of </w:t>
      </w:r>
      <w:r>
        <w:rPr>
          <w:b w:val="0"/>
          <w:i w:val="0"/>
          <w:smallCaps w:val="0"/>
          <w:strike w:val="0"/>
          <w:highlight w:val="cyan"/>
          <w:u w:val="single"/>
        </w:rPr>
        <w:t>trademarks relate to</w:t>
      </w:r>
      <w:r>
        <w:rPr>
          <w:b w:val="0"/>
          <w:i w:val="0"/>
          <w:smallCaps w:val="0"/>
          <w:strike w:val="0"/>
          <w:u w:val="single"/>
        </w:rPr>
        <w:t xml:space="preserve"> social </w:t>
      </w:r>
      <w:r>
        <w:rPr>
          <w:b w:val="0"/>
          <w:i w:val="0"/>
          <w:smallCaps w:val="0"/>
          <w:strike w:val="0"/>
          <w:highlight w:val="cyan"/>
          <w:u w:val="single"/>
        </w:rPr>
        <w:t>startup development</w:t>
      </w:r>
      <w:r>
        <w:rPr>
          <w:b w:val="0"/>
          <w:i w:val="0"/>
          <w:smallCaps w:val="0"/>
          <w:strike w:val="0"/>
          <w:u w:val="single"/>
        </w:rPr>
        <w:t>. As such, we find similarities to prior research on traditional startup development</w:t>
      </w:r>
      <w:r>
        <w:rPr>
          <w:b w:val="0"/>
          <w:i w:val="0"/>
          <w:smallCaps w:val="0"/>
          <w:strike w:val="0"/>
          <w:sz w:val="16"/>
          <w:u w:val="none"/>
        </w:rPr>
        <w:t xml:space="preserve"> (e.g., Helmers and Rogers, 2010; Srinivasan et al., 2008). However, we find that there are particularities in trademarks for the development of hybrid outcomes of social startups.</w:t>
      </w:r>
    </w:p>
    <w:p>
      <w:pPr>
        <w:spacing w:after="60"/>
      </w:pPr>
      <w:r>
        <w:rPr>
          <w:b w:val="0"/>
          <w:i w:val="0"/>
          <w:smallCaps w:val="0"/>
          <w:strike w:val="0"/>
          <w:sz w:val="16"/>
          <w:u w:val="none"/>
        </w:rPr>
        <w:t xml:space="preserve">First, our findings reveal that </w:t>
      </w:r>
      <w:r>
        <w:rPr>
          <w:b w:val="0"/>
          <w:i w:val="0"/>
          <w:smallCaps w:val="0"/>
          <w:strike w:val="0"/>
          <w:highlight w:val="cyan"/>
          <w:u w:val="single"/>
        </w:rPr>
        <w:t>trademark registrations</w:t>
      </w:r>
      <w:r>
        <w:rPr>
          <w:b w:val="0"/>
          <w:i w:val="0"/>
          <w:smallCaps w:val="0"/>
          <w:strike w:val="0"/>
          <w:u w:val="single"/>
        </w:rPr>
        <w:t xml:space="preserve"> within the first three years of a social startup’s existence </w:t>
      </w:r>
      <w:r>
        <w:rPr>
          <w:b w:val="0"/>
          <w:i w:val="0"/>
          <w:smallCaps w:val="0"/>
          <w:strike w:val="0"/>
          <w:highlight w:val="cyan"/>
          <w:u w:val="single"/>
        </w:rPr>
        <w:t>relate to</w:t>
      </w:r>
      <w:r>
        <w:rPr>
          <w:b w:val="0"/>
          <w:i w:val="0"/>
          <w:smallCaps w:val="0"/>
          <w:strike w:val="0"/>
          <w:u w:val="single"/>
        </w:rPr>
        <w:t xml:space="preserve"> their </w:t>
      </w:r>
      <w:r>
        <w:rPr>
          <w:b w:val="0"/>
          <w:i w:val="0"/>
          <w:smallCaps w:val="0"/>
          <w:strike w:val="0"/>
          <w:highlight w:val="cyan"/>
          <w:u w:val="single"/>
        </w:rPr>
        <w:t>economic outcomes</w:t>
      </w:r>
      <w:r>
        <w:rPr>
          <w:b w:val="0"/>
          <w:i w:val="0"/>
          <w:smallCaps w:val="0"/>
          <w:strike w:val="0"/>
          <w:u w:val="single"/>
        </w:rPr>
        <w:t xml:space="preserve">. Thus, we find that in addition to the receipt of grants </w:t>
      </w:r>
      <w:r>
        <w:rPr>
          <w:b w:val="0"/>
          <w:i w:val="0"/>
          <w:smallCaps w:val="0"/>
          <w:strike w:val="0"/>
          <w:highlight w:val="cyan"/>
          <w:u w:val="single"/>
        </w:rPr>
        <w:t>and</w:t>
      </w:r>
      <w:r>
        <w:rPr>
          <w:b w:val="0"/>
          <w:i w:val="0"/>
          <w:smallCaps w:val="0"/>
          <w:strike w:val="0"/>
          <w:u w:val="single"/>
        </w:rPr>
        <w:t xml:space="preserve"> the experience of a social entrepreneur</w:t>
      </w:r>
      <w:r>
        <w:rPr>
          <w:b w:val="0"/>
          <w:i w:val="0"/>
          <w:smallCaps w:val="0"/>
          <w:strike w:val="0"/>
          <w:sz w:val="16"/>
          <w:u w:val="none"/>
        </w:rPr>
        <w:t xml:space="preserve"> (Lall and Park, 2020; Rey-Martí et al., 2016), </w:t>
      </w:r>
      <w:r>
        <w:rPr>
          <w:b w:val="0"/>
          <w:i w:val="0"/>
          <w:smallCaps w:val="0"/>
          <w:strike w:val="0"/>
          <w:u w:val="single"/>
        </w:rPr>
        <w:t xml:space="preserve">IPRs relate to the </w:t>
      </w:r>
      <w:r>
        <w:rPr>
          <w:b w:val="0"/>
          <w:i w:val="0"/>
          <w:smallCaps w:val="0"/>
          <w:strike w:val="0"/>
          <w:highlight w:val="cyan"/>
          <w:u w:val="single"/>
        </w:rPr>
        <w:t>employment</w:t>
      </w:r>
      <w:r>
        <w:rPr>
          <w:b w:val="0"/>
          <w:i w:val="0"/>
          <w:smallCaps w:val="0"/>
          <w:strike w:val="0"/>
          <w:u w:val="single"/>
        </w:rPr>
        <w:t xml:space="preserve"> </w:t>
      </w:r>
      <w:r>
        <w:rPr>
          <w:b w:val="0"/>
          <w:i w:val="0"/>
          <w:smallCaps w:val="0"/>
          <w:strike w:val="0"/>
          <w:highlight w:val="cyan"/>
          <w:u w:val="single"/>
        </w:rPr>
        <w:t>growth</w:t>
      </w:r>
      <w:r>
        <w:rPr>
          <w:b w:val="0"/>
          <w:i w:val="0"/>
          <w:smallCaps w:val="0"/>
          <w:strike w:val="0"/>
          <w:u w:val="single"/>
        </w:rPr>
        <w:t xml:space="preserve"> of social startups. Social </w:t>
      </w:r>
      <w:r>
        <w:rPr>
          <w:b w:val="0"/>
          <w:i w:val="0"/>
          <w:smallCaps w:val="0"/>
          <w:strike w:val="0"/>
          <w:u w:val="single"/>
        </w:rPr>
        <w:t>startups</w:t>
      </w:r>
      <w:r>
        <w:rPr>
          <w:b w:val="0"/>
          <w:i w:val="0"/>
          <w:smallCaps w:val="0"/>
          <w:strike w:val="0"/>
          <w:u w:val="single"/>
        </w:rPr>
        <w:t xml:space="preserve"> seem to </w:t>
      </w:r>
      <w:r>
        <w:rPr>
          <w:b w:val="0"/>
          <w:i w:val="0"/>
          <w:smallCaps w:val="0"/>
          <w:strike w:val="0"/>
          <w:u w:val="single"/>
        </w:rPr>
        <w:t>benefit from a signaling</w:t>
      </w:r>
      <w:r>
        <w:rPr>
          <w:b w:val="0"/>
          <w:i w:val="0"/>
          <w:smallCaps w:val="0"/>
          <w:strike w:val="0"/>
          <w:u w:val="single"/>
        </w:rPr>
        <w:t xml:space="preserve"> and appropriation value that has been identified by prior trademark research on traditional startups</w:t>
      </w:r>
      <w:r>
        <w:rPr>
          <w:b w:val="0"/>
          <w:i w:val="0"/>
          <w:smallCaps w:val="0"/>
          <w:strike w:val="0"/>
          <w:sz w:val="16"/>
          <w:u w:val="none"/>
        </w:rPr>
        <w:t xml:space="preserve"> (e.g., Flikkema et al., 2014; Hsu et al., 2021; Malmberg, 2005). </w:t>
      </w:r>
      <w:r>
        <w:rPr>
          <w:b w:val="0"/>
          <w:i w:val="0"/>
          <w:smallCaps w:val="0"/>
          <w:strike w:val="0"/>
          <w:u w:val="single"/>
        </w:rPr>
        <w:t xml:space="preserve">The </w:t>
      </w:r>
      <w:r>
        <w:rPr>
          <w:b w:val="0"/>
          <w:i w:val="0"/>
          <w:smallCaps w:val="0"/>
          <w:strike w:val="0"/>
          <w:highlight w:val="cyan"/>
          <w:u w:val="single"/>
        </w:rPr>
        <w:t>signaling value of trademarks</w:t>
      </w:r>
      <w:r>
        <w:rPr>
          <w:b w:val="0"/>
          <w:i w:val="0"/>
          <w:smallCaps w:val="0"/>
          <w:strike w:val="0"/>
          <w:u w:val="single"/>
        </w:rPr>
        <w:t xml:space="preserve"> can </w:t>
      </w:r>
      <w:r>
        <w:rPr>
          <w:b w:val="0"/>
          <w:i w:val="0"/>
          <w:smallCaps w:val="0"/>
          <w:strike w:val="0"/>
          <w:highlight w:val="cyan"/>
          <w:u w:val="single"/>
        </w:rPr>
        <w:t>help startups obtain</w:t>
      </w:r>
      <w:r>
        <w:rPr>
          <w:b w:val="0"/>
          <w:i w:val="0"/>
          <w:smallCaps w:val="0"/>
          <w:strike w:val="0"/>
          <w:u w:val="single"/>
        </w:rPr>
        <w:t xml:space="preserve"> access to external </w:t>
      </w:r>
      <w:r>
        <w:rPr>
          <w:b w:val="0"/>
          <w:i w:val="0"/>
          <w:smallCaps w:val="0"/>
          <w:strike w:val="0"/>
          <w:u w:val="single"/>
        </w:rPr>
        <w:t>financial</w:t>
      </w:r>
      <w:r>
        <w:rPr>
          <w:b w:val="0"/>
          <w:i w:val="0"/>
          <w:smallCaps w:val="0"/>
          <w:strike w:val="0"/>
          <w:u w:val="single"/>
        </w:rPr>
        <w:t xml:space="preserve"> and nonfinancial </w:t>
      </w:r>
      <w:r>
        <w:rPr>
          <w:b w:val="0"/>
          <w:i w:val="0"/>
          <w:smallCaps w:val="0"/>
          <w:strike w:val="0"/>
          <w:highlight w:val="cyan"/>
          <w:u w:val="single"/>
        </w:rPr>
        <w:t>support</w:t>
      </w:r>
      <w:r>
        <w:rPr>
          <w:b w:val="0"/>
          <w:i w:val="0"/>
          <w:smallCaps w:val="0"/>
          <w:strike w:val="0"/>
          <w:sz w:val="16"/>
          <w:u w:val="none"/>
        </w:rPr>
        <w:t xml:space="preserve"> (e.g., Yang et al., 2020); </w:t>
      </w:r>
      <w:r>
        <w:rPr>
          <w:b w:val="0"/>
          <w:i w:val="0"/>
          <w:smallCaps w:val="0"/>
          <w:strike w:val="0"/>
          <w:u w:val="single"/>
        </w:rPr>
        <w:t xml:space="preserve">also, trademarks </w:t>
      </w:r>
      <w:r>
        <w:rPr>
          <w:b w:val="0"/>
          <w:i w:val="0"/>
          <w:smallCaps w:val="0"/>
          <w:strike w:val="0"/>
          <w:highlight w:val="cyan"/>
          <w:u w:val="single"/>
        </w:rPr>
        <w:t>enable</w:t>
      </w:r>
      <w:r>
        <w:rPr>
          <w:b w:val="0"/>
          <w:i w:val="0"/>
          <w:smallCaps w:val="0"/>
          <w:strike w:val="0"/>
          <w:u w:val="single"/>
        </w:rPr>
        <w:t xml:space="preserve"> them to have </w:t>
      </w:r>
      <w:r>
        <w:rPr>
          <w:b w:val="0"/>
          <w:i w:val="0"/>
          <w:smallCaps w:val="0"/>
          <w:strike w:val="0"/>
          <w:highlight w:val="cyan"/>
          <w:u w:val="single"/>
        </w:rPr>
        <w:t>stronger commercialization</w:t>
      </w:r>
      <w:r>
        <w:rPr>
          <w:b w:val="0"/>
          <w:i w:val="0"/>
          <w:smallCaps w:val="0"/>
          <w:strike w:val="0"/>
          <w:u w:val="single"/>
        </w:rPr>
        <w:t xml:space="preserve"> of their products and services</w:t>
      </w:r>
      <w:r>
        <w:rPr>
          <w:b w:val="0"/>
          <w:i w:val="0"/>
          <w:smallCaps w:val="0"/>
          <w:strike w:val="0"/>
          <w:sz w:val="16"/>
          <w:u w:val="none"/>
        </w:rPr>
        <w:t xml:space="preserve"> (Hsu et al., 2021). Furthermore, the </w:t>
      </w:r>
      <w:r>
        <w:rPr>
          <w:b w:val="0"/>
          <w:i w:val="0"/>
          <w:smallCaps w:val="0"/>
          <w:strike w:val="0"/>
          <w:u w:val="single"/>
        </w:rPr>
        <w:t xml:space="preserve">signaling effect of trademarks can serve </w:t>
      </w:r>
      <w:r>
        <w:rPr>
          <w:b w:val="0"/>
          <w:i w:val="0"/>
          <w:smallCaps w:val="0"/>
          <w:strike w:val="0"/>
          <w:u w:val="single"/>
        </w:rPr>
        <w:t xml:space="preserve">as </w:t>
      </w:r>
      <w:r>
        <w:rPr>
          <w:b w:val="0"/>
          <w:i w:val="0"/>
          <w:smallCaps w:val="0"/>
          <w:strike w:val="0"/>
          <w:highlight w:val="cyan"/>
          <w:u w:val="single"/>
        </w:rPr>
        <w:t>a</w:t>
      </w:r>
      <w:r>
        <w:rPr>
          <w:b w:val="0"/>
          <w:i w:val="0"/>
          <w:smallCaps w:val="0"/>
          <w:strike w:val="0"/>
          <w:u w:val="single"/>
        </w:rPr>
        <w:t xml:space="preserve"> valuable </w:t>
      </w:r>
      <w:r>
        <w:rPr>
          <w:b w:val="0"/>
          <w:i w:val="0"/>
          <w:smallCaps w:val="0"/>
          <w:strike w:val="0"/>
          <w:highlight w:val="cyan"/>
          <w:u w:val="single"/>
        </w:rPr>
        <w:t>sign for</w:t>
      </w:r>
      <w:r>
        <w:rPr>
          <w:b w:val="0"/>
          <w:i w:val="0"/>
          <w:smallCaps w:val="0"/>
          <w:strike w:val="0"/>
          <w:u w:val="single"/>
        </w:rPr>
        <w:t xml:space="preserve"> the </w:t>
      </w:r>
      <w:r>
        <w:rPr>
          <w:b w:val="0"/>
          <w:i w:val="0"/>
          <w:smallCaps w:val="0"/>
          <w:strike w:val="0"/>
          <w:highlight w:val="cyan"/>
          <w:u w:val="single"/>
        </w:rPr>
        <w:t>growth</w:t>
      </w:r>
      <w:r>
        <w:rPr>
          <w:b w:val="0"/>
          <w:i w:val="0"/>
          <w:smallCaps w:val="0"/>
          <w:strike w:val="0"/>
          <w:u w:val="single"/>
        </w:rPr>
        <w:t xml:space="preserve"> ambitions of a social startup, which in the next step can lead to higher realized growth</w:t>
      </w:r>
      <w:r>
        <w:rPr>
          <w:b w:val="0"/>
          <w:i w:val="0"/>
          <w:smallCaps w:val="0"/>
          <w:strike w:val="0"/>
          <w:sz w:val="16"/>
          <w:u w:val="none"/>
        </w:rPr>
        <w:t xml:space="preserve"> (e.g., Delmar and Wiklund, 2008). In turn, trademark registrations foster the economic development of social startups. However, our further analysis indicates that the number of registered trademarks is important to indicate top economic outcomes of social startups. </w:t>
      </w:r>
      <w:r>
        <w:rPr>
          <w:b w:val="0"/>
          <w:i w:val="0"/>
          <w:smallCaps w:val="0"/>
          <w:strike w:val="0"/>
          <w:u w:val="single"/>
        </w:rPr>
        <w:t xml:space="preserve">This </w:t>
      </w:r>
      <w:r>
        <w:rPr>
          <w:b w:val="0"/>
          <w:i w:val="0"/>
          <w:smallCaps w:val="0"/>
          <w:strike w:val="0"/>
          <w:u w:val="single"/>
        </w:rPr>
        <w:t>finding is in line with Block et al. (2014), who show that the number of trademarks affects startup valuations by venture capitalists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