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Current</w:t>
      </w:r>
      <w:r>
        <w:rPr>
          <w:b/>
          <w:i w:val="0"/>
          <w:smallCaps w:val="0"/>
          <w:strike w:val="0"/>
          <w:sz w:val="26"/>
          <w:u w:val="none"/>
        </w:rPr>
        <w:t xml:space="preserve"> use requirement at court discretion </w:t>
      </w:r>
      <w:r>
        <w:rPr>
          <w:b/>
          <w:i w:val="0"/>
          <w:smallCaps w:val="0"/>
          <w:strike w:val="0"/>
          <w:sz w:val="26"/>
          <w:u w:val="single"/>
        </w:rPr>
        <w:t>saturates</w:t>
      </w:r>
      <w:r>
        <w:rPr>
          <w:b/>
          <w:i w:val="0"/>
          <w:smallCaps w:val="0"/>
          <w:strike w:val="0"/>
          <w:sz w:val="26"/>
          <w:u w:val="none"/>
        </w:rPr>
        <w:t xml:space="preserve"> the courts – the plan achieves </w:t>
      </w:r>
      <w:r>
        <w:rPr>
          <w:b/>
          <w:i w:val="0"/>
          <w:smallCaps w:val="0"/>
          <w:strike w:val="0"/>
          <w:sz w:val="26"/>
          <w:u w:val="single"/>
        </w:rPr>
        <w:t>greater</w:t>
      </w:r>
      <w:r>
        <w:rPr>
          <w:b/>
          <w:i w:val="0"/>
          <w:smallCaps w:val="0"/>
          <w:strike w:val="0"/>
          <w:sz w:val="26"/>
          <w:u w:val="none"/>
        </w:rPr>
        <w:t xml:space="preserve"> uniformity and keeps </w:t>
      </w:r>
      <w:r>
        <w:rPr>
          <w:b/>
          <w:i w:val="0"/>
          <w:smallCaps w:val="0"/>
          <w:strike w:val="0"/>
          <w:sz w:val="26"/>
          <w:u w:val="single"/>
        </w:rPr>
        <w:t>countless</w:t>
      </w:r>
      <w:r>
        <w:rPr>
          <w:b/>
          <w:i w:val="0"/>
          <w:smallCaps w:val="0"/>
          <w:strike w:val="0"/>
          <w:sz w:val="26"/>
          <w:u w:val="none"/>
        </w:rPr>
        <w:t xml:space="preserve"> cases from the courts.</w:t>
      </w:r>
    </w:p>
    <w:p>
      <w:pPr>
        <w:spacing w:after="80"/>
      </w:pPr>
      <w:r>
        <w:rPr>
          <w:b/>
          <w:i w:val="0"/>
          <w:smallCaps w:val="0"/>
          <w:strike w:val="0"/>
          <w:sz w:val="26"/>
          <w:u w:val="none"/>
        </w:rPr>
        <w:t xml:space="preserve">McDowall 15 </w:t>
      </w:r>
      <w:r>
        <w:rPr>
          <w:b w:val="0"/>
          <w:i w:val="0"/>
          <w:smallCaps w:val="0"/>
          <w:strike w:val="0"/>
          <w:sz w:val="16"/>
          <w:u w:val="none"/>
        </w:rPr>
        <w:t>– Krystil McDowall (New York Attorney, specializing in Intellectual Property Law), Spring 2015, "A Critical Look at ‘Use’ Under the Landham Act," New York University Journal of Intellectual Property and Entertainment Law, https://jipel.law.nyu.edu/wp-content/uploads/2015/05/NYU_JIPEL_Vol-4-No-2-2_McDowall_UseUnderLanhamAct.pdf /$antiP/</w:t>
      </w:r>
    </w:p>
    <w:p>
      <w:pPr>
        <w:spacing w:after="60"/>
      </w:pPr>
      <w:r>
        <w:rPr>
          <w:b w:val="0"/>
          <w:i w:val="0"/>
          <w:smallCaps w:val="0"/>
          <w:strike w:val="0"/>
          <w:u w:val="single"/>
        </w:rPr>
        <w:t xml:space="preserve">It is time for </w:t>
      </w:r>
      <w:r>
        <w:rPr>
          <w:b w:val="0"/>
          <w:i w:val="0"/>
          <w:smallCaps w:val="0"/>
          <w:strike w:val="0"/>
          <w:highlight w:val="cyan"/>
          <w:u w:val="single"/>
        </w:rPr>
        <w:t>Congress</w:t>
      </w:r>
      <w:r>
        <w:rPr>
          <w:b w:val="0"/>
          <w:i w:val="0"/>
          <w:smallCaps w:val="0"/>
          <w:strike w:val="0"/>
          <w:u w:val="single"/>
        </w:rPr>
        <w:t xml:space="preserve"> to empower “weaker” trademark owners by way of added </w:t>
      </w:r>
      <w:r>
        <w:rPr>
          <w:b w:val="0"/>
          <w:i w:val="0"/>
          <w:smallCaps w:val="0"/>
          <w:strike w:val="0"/>
          <w:highlight w:val="cyan"/>
          <w:u w:val="single"/>
        </w:rPr>
        <w:t>protections</w:t>
      </w:r>
      <w:r>
        <w:rPr>
          <w:b w:val="0"/>
          <w:i w:val="0"/>
          <w:smallCaps w:val="0"/>
          <w:strike w:val="0"/>
          <w:u w:val="single"/>
        </w:rPr>
        <w:t xml:space="preserve"> to the Lanham Act that </w:t>
      </w:r>
      <w:r>
        <w:rPr>
          <w:b w:val="0"/>
          <w:i w:val="0"/>
          <w:smallCaps w:val="0"/>
          <w:strike w:val="0"/>
          <w:highlight w:val="cyan"/>
          <w:u w:val="single"/>
        </w:rPr>
        <w:t xml:space="preserve">achieve </w:t>
      </w:r>
      <w:r>
        <w:rPr>
          <w:b/>
          <w:i w:val="0"/>
          <w:smallCaps w:val="0"/>
          <w:strike w:val="0"/>
          <w:highlight w:val="cyan"/>
          <w:u w:val="single"/>
        </w:rPr>
        <w:t>greater uniformity</w:t>
      </w:r>
      <w:r>
        <w:rPr>
          <w:b/>
          <w:i w:val="0"/>
          <w:smallCaps w:val="0"/>
          <w:strike w:val="0"/>
          <w:u w:val="single"/>
        </w:rPr>
        <w:t xml:space="preserve"> in the application</w:t>
      </w:r>
      <w:r>
        <w:rPr>
          <w:b w:val="0"/>
          <w:i w:val="0"/>
          <w:smallCaps w:val="0"/>
          <w:strike w:val="0"/>
          <w:u w:val="single"/>
        </w:rPr>
        <w:t xml:space="preserve"> of the use requirement</w:t>
      </w:r>
      <w:r>
        <w:rPr>
          <w:b w:val="0"/>
          <w:i w:val="0"/>
          <w:smallCaps w:val="0"/>
          <w:strike w:val="0"/>
          <w:sz w:val="16"/>
          <w:u w:val="none"/>
        </w:rPr>
        <w:t xml:space="preserve">. In doing so, Congress would finally provide protection to trademark owners whom the Act, as currently written, denies. In order to ensure the Act’s use requirement is uniform in its application, </w:t>
      </w:r>
      <w:r>
        <w:rPr>
          <w:b w:val="0"/>
          <w:i w:val="0"/>
          <w:smallCaps w:val="0"/>
          <w:strike w:val="0"/>
          <w:u w:val="single"/>
        </w:rPr>
        <w:t xml:space="preserve">Congress should amend the Act to </w:t>
      </w:r>
      <w:r>
        <w:rPr>
          <w:b w:val="0"/>
          <w:i w:val="0"/>
          <w:smallCaps w:val="0"/>
          <w:strike w:val="0"/>
          <w:highlight w:val="cyan"/>
          <w:u w:val="single"/>
        </w:rPr>
        <w:t>broaden</w:t>
      </w:r>
      <w:r>
        <w:rPr>
          <w:b w:val="0"/>
          <w:i w:val="0"/>
          <w:smallCaps w:val="0"/>
          <w:strike w:val="0"/>
          <w:u w:val="single"/>
        </w:rPr>
        <w:t xml:space="preserve"> the nature of the </w:t>
      </w:r>
      <w:r>
        <w:rPr>
          <w:b w:val="0"/>
          <w:i w:val="0"/>
          <w:smallCaps w:val="0"/>
          <w:strike w:val="0"/>
          <w:highlight w:val="cyan"/>
          <w:u w:val="single"/>
        </w:rPr>
        <w:t>activities</w:t>
      </w:r>
      <w:r>
        <w:rPr>
          <w:b w:val="0"/>
          <w:i w:val="0"/>
          <w:smallCaps w:val="0"/>
          <w:strike w:val="0"/>
          <w:u w:val="single"/>
        </w:rPr>
        <w:t xml:space="preserve"> </w:t>
      </w:r>
      <w:r>
        <w:rPr>
          <w:b w:val="0"/>
          <w:i w:val="0"/>
          <w:smallCaps w:val="0"/>
          <w:strike w:val="0"/>
          <w:highlight w:val="cyan"/>
          <w:u w:val="single"/>
        </w:rPr>
        <w:t>that constitute use</w:t>
      </w:r>
      <w:r>
        <w:rPr>
          <w:b w:val="0"/>
          <w:i w:val="0"/>
          <w:smallCaps w:val="0"/>
          <w:strike w:val="0"/>
          <w:u w:val="single"/>
        </w:rPr>
        <w:t xml:space="preserve"> and ensure the use inquiry is a qualitative analysis </w:t>
      </w:r>
      <w:r>
        <w:rPr>
          <w:b w:val="0"/>
          <w:i w:val="0"/>
          <w:smallCaps w:val="0"/>
          <w:strike w:val="0"/>
          <w:highlight w:val="cyan"/>
          <w:u w:val="single"/>
        </w:rPr>
        <w:t>that</w:t>
      </w:r>
      <w:r>
        <w:rPr>
          <w:b w:val="0"/>
          <w:i w:val="0"/>
          <w:smallCaps w:val="0"/>
          <w:strike w:val="0"/>
          <w:u w:val="single"/>
        </w:rPr>
        <w:t xml:space="preserve"> </w:t>
      </w:r>
      <w:r>
        <w:rPr>
          <w:b/>
          <w:i w:val="0"/>
          <w:smallCaps w:val="0"/>
          <w:strike w:val="0"/>
          <w:u w:val="single"/>
        </w:rPr>
        <w:t xml:space="preserve">explicitly </w:t>
      </w:r>
      <w:r>
        <w:rPr>
          <w:b/>
          <w:i w:val="0"/>
          <w:smallCaps w:val="0"/>
          <w:strike w:val="0"/>
          <w:highlight w:val="cyan"/>
          <w:u w:val="single"/>
        </w:rPr>
        <w:t>includes bona fide</w:t>
      </w:r>
      <w:r>
        <w:rPr>
          <w:b/>
          <w:i w:val="0"/>
          <w:smallCaps w:val="0"/>
          <w:strike w:val="0"/>
          <w:u w:val="single"/>
        </w:rPr>
        <w:t xml:space="preserve"> but </w:t>
      </w:r>
      <w:r>
        <w:rPr>
          <w:b/>
          <w:i w:val="0"/>
          <w:smallCaps w:val="0"/>
          <w:strike w:val="0"/>
          <w:highlight w:val="cyan"/>
          <w:u w:val="single"/>
        </w:rPr>
        <w:t>minimal use</w:t>
      </w:r>
      <w:r>
        <w:rPr>
          <w:b w:val="0"/>
          <w:i w:val="0"/>
          <w:smallCaps w:val="0"/>
          <w:strike w:val="0"/>
          <w:sz w:val="16"/>
          <w:u w:val="none"/>
        </w:rPr>
        <w:t xml:space="preserve">. The current use requirement is unpredictable and blurry, given that what constitutes a de minimis quantum of use is ultimately at the court’s discretion and is not readily predictable by market participants. </w:t>
      </w:r>
      <w:r>
        <w:rPr>
          <w:b w:val="0"/>
          <w:i w:val="0"/>
          <w:smallCaps w:val="0"/>
          <w:strike w:val="0"/>
          <w:u w:val="single"/>
        </w:rPr>
        <w:t xml:space="preserve">The </w:t>
      </w:r>
      <w:r>
        <w:rPr>
          <w:b w:val="0"/>
          <w:i w:val="0"/>
          <w:smallCaps w:val="0"/>
          <w:strike w:val="0"/>
          <w:highlight w:val="cyan"/>
          <w:u w:val="single"/>
        </w:rPr>
        <w:t>regularity of</w:t>
      </w:r>
      <w:r>
        <w:rPr>
          <w:b w:val="0"/>
          <w:i w:val="0"/>
          <w:smallCaps w:val="0"/>
          <w:strike w:val="0"/>
          <w:u w:val="single"/>
        </w:rPr>
        <w:t xml:space="preserve"> federal </w:t>
      </w:r>
      <w:r>
        <w:rPr>
          <w:b w:val="0"/>
          <w:i w:val="0"/>
          <w:smallCaps w:val="0"/>
          <w:strike w:val="0"/>
          <w:highlight w:val="cyan"/>
          <w:u w:val="single"/>
        </w:rPr>
        <w:t>cases</w:t>
      </w:r>
      <w:r>
        <w:rPr>
          <w:b w:val="0"/>
          <w:i w:val="0"/>
          <w:smallCaps w:val="0"/>
          <w:strike w:val="0"/>
          <w:u w:val="single"/>
        </w:rPr>
        <w:t xml:space="preserve"> litigating the use issue can be </w:t>
      </w:r>
      <w:r>
        <w:rPr>
          <w:b w:val="0"/>
          <w:i w:val="0"/>
          <w:smallCaps w:val="0"/>
          <w:strike w:val="0"/>
          <w:highlight w:val="cyan"/>
          <w:u w:val="single"/>
        </w:rPr>
        <w:t>explained by</w:t>
      </w:r>
      <w:r>
        <w:rPr>
          <w:b w:val="0"/>
          <w:i w:val="0"/>
          <w:smallCaps w:val="0"/>
          <w:strike w:val="0"/>
          <w:u w:val="single"/>
        </w:rPr>
        <w:t xml:space="preserve"> the </w:t>
      </w:r>
      <w:r>
        <w:rPr>
          <w:b/>
          <w:i w:val="0"/>
          <w:smallCaps w:val="0"/>
          <w:strike w:val="0"/>
          <w:highlight w:val="cyan"/>
          <w:u w:val="single"/>
        </w:rPr>
        <w:t>lack of</w:t>
      </w:r>
      <w:r>
        <w:rPr>
          <w:b/>
          <w:i w:val="0"/>
          <w:smallCaps w:val="0"/>
          <w:strike w:val="0"/>
          <w:u w:val="single"/>
        </w:rPr>
        <w:t xml:space="preserve"> a </w:t>
      </w:r>
      <w:r>
        <w:rPr>
          <w:b/>
          <w:i w:val="0"/>
          <w:smallCaps w:val="0"/>
          <w:strike w:val="0"/>
          <w:highlight w:val="cyan"/>
          <w:u w:val="single"/>
        </w:rPr>
        <w:t>bright-line</w:t>
      </w:r>
      <w:r>
        <w:rPr>
          <w:b/>
          <w:i w:val="0"/>
          <w:smallCaps w:val="0"/>
          <w:strike w:val="0"/>
          <w:u w:val="single"/>
        </w:rPr>
        <w:t xml:space="preserve"> rule</w:t>
      </w:r>
      <w:r>
        <w:rPr>
          <w:b w:val="0"/>
          <w:i w:val="0"/>
          <w:smallCaps w:val="0"/>
          <w:strike w:val="0"/>
          <w:sz w:val="16"/>
          <w:u w:val="none"/>
        </w:rPr>
        <w:t xml:space="preserve"> specifying what types of activity, and what quantum of use, will satisfy the use threshold. </w:t>
      </w:r>
      <w:r>
        <w:rPr>
          <w:b w:val="0"/>
          <w:i w:val="0"/>
          <w:smallCaps w:val="0"/>
          <w:strike w:val="0"/>
          <w:highlight w:val="cyan"/>
          <w:u w:val="single"/>
        </w:rPr>
        <w:t>Without</w:t>
      </w:r>
      <w:r>
        <w:rPr>
          <w:b w:val="0"/>
          <w:i w:val="0"/>
          <w:smallCaps w:val="0"/>
          <w:strike w:val="0"/>
          <w:u w:val="single"/>
        </w:rPr>
        <w:t xml:space="preserve"> any </w:t>
      </w:r>
      <w:r>
        <w:rPr>
          <w:b w:val="0"/>
          <w:i w:val="0"/>
          <w:smallCaps w:val="0"/>
          <w:strike w:val="0"/>
          <w:highlight w:val="cyan"/>
          <w:u w:val="single"/>
        </w:rPr>
        <w:t>change</w:t>
      </w:r>
      <w:r>
        <w:rPr>
          <w:b w:val="0"/>
          <w:i w:val="0"/>
          <w:smallCaps w:val="0"/>
          <w:strike w:val="0"/>
          <w:u w:val="single"/>
        </w:rPr>
        <w:t xml:space="preserve"> or development in the law, one can expect that </w:t>
      </w:r>
      <w:r>
        <w:rPr>
          <w:b/>
          <w:i w:val="0"/>
          <w:smallCaps w:val="0"/>
          <w:strike w:val="0"/>
          <w:u w:val="single"/>
        </w:rPr>
        <w:t>actions</w:t>
      </w:r>
      <w:r>
        <w:rPr>
          <w:b/>
          <w:i w:val="0"/>
          <w:smallCaps w:val="0"/>
          <w:strike w:val="0"/>
          <w:u w:val="single"/>
        </w:rPr>
        <w:t xml:space="preserve"> </w:t>
      </w:r>
      <w:r>
        <w:rPr>
          <w:b/>
          <w:i w:val="0"/>
          <w:smallCaps w:val="0"/>
          <w:strike w:val="0"/>
          <w:highlight w:val="cyan"/>
          <w:u w:val="single"/>
        </w:rPr>
        <w:t>will continue to saturate</w:t>
      </w:r>
      <w:r>
        <w:rPr>
          <w:b/>
          <w:i w:val="0"/>
          <w:smallCaps w:val="0"/>
          <w:strike w:val="0"/>
          <w:u w:val="single"/>
        </w:rPr>
        <w:t xml:space="preserve"> the </w:t>
      </w:r>
      <w:r>
        <w:rPr>
          <w:b/>
          <w:i w:val="0"/>
          <w:smallCaps w:val="0"/>
          <w:strike w:val="0"/>
          <w:highlight w:val="cyan"/>
          <w:u w:val="single"/>
        </w:rPr>
        <w:t>courts</w:t>
      </w:r>
      <w:r>
        <w:rPr>
          <w:b w:val="0"/>
          <w:i w:val="0"/>
          <w:smallCaps w:val="0"/>
          <w:strike w:val="0"/>
          <w:u w:val="single"/>
        </w:rPr>
        <w:t xml:space="preserve">. </w:t>
      </w:r>
      <w:r>
        <w:rPr>
          <w:b w:val="0"/>
          <w:i w:val="0"/>
          <w:smallCaps w:val="0"/>
          <w:strike w:val="0"/>
          <w:highlight w:val="cyan"/>
          <w:u w:val="single"/>
        </w:rPr>
        <w:t>By</w:t>
      </w:r>
      <w:r>
        <w:rPr>
          <w:b w:val="0"/>
          <w:i w:val="0"/>
          <w:smallCaps w:val="0"/>
          <w:strike w:val="0"/>
          <w:u w:val="single"/>
        </w:rPr>
        <w:t xml:space="preserve"> broadening and </w:t>
      </w:r>
      <w:r>
        <w:rPr>
          <w:b w:val="0"/>
          <w:i w:val="0"/>
          <w:smallCaps w:val="0"/>
          <w:strike w:val="0"/>
          <w:highlight w:val="cyan"/>
          <w:u w:val="single"/>
        </w:rPr>
        <w:t>clarifying</w:t>
      </w:r>
      <w:r>
        <w:rPr>
          <w:b w:val="0"/>
          <w:i w:val="0"/>
          <w:smallCaps w:val="0"/>
          <w:strike w:val="0"/>
          <w:u w:val="single"/>
        </w:rPr>
        <w:t xml:space="preserve"> the use provision</w:t>
      </w:r>
      <w:r>
        <w:rPr>
          <w:b w:val="0"/>
          <w:i w:val="0"/>
          <w:smallCaps w:val="0"/>
          <w:strike w:val="0"/>
          <w:sz w:val="16"/>
          <w:u w:val="none"/>
        </w:rPr>
        <w:t xml:space="preserve"> — including specifying that certain pre-sales activity constitutes use and loosening the quantum of use standard — </w:t>
      </w:r>
      <w:r>
        <w:rPr>
          <w:b w:val="0"/>
          <w:i w:val="0"/>
          <w:smallCaps w:val="0"/>
          <w:strike w:val="0"/>
          <w:highlight w:val="cyan"/>
          <w:u w:val="single"/>
        </w:rPr>
        <w:t>Congress can keep</w:t>
      </w:r>
      <w:r>
        <w:rPr>
          <w:b w:val="0"/>
          <w:i w:val="0"/>
          <w:smallCaps w:val="0"/>
          <w:strike w:val="0"/>
          <w:u w:val="single"/>
        </w:rPr>
        <w:t xml:space="preserve"> </w:t>
      </w:r>
      <w:r>
        <w:rPr>
          <w:b/>
          <w:i w:val="0"/>
          <w:smallCaps w:val="0"/>
          <w:strike w:val="0"/>
          <w:highlight w:val="cyan"/>
          <w:u w:val="single"/>
        </w:rPr>
        <w:t>countless lawsuits from the</w:t>
      </w:r>
      <w:r>
        <w:rPr>
          <w:b/>
          <w:i w:val="0"/>
          <w:smallCaps w:val="0"/>
          <w:strike w:val="0"/>
          <w:u w:val="single"/>
        </w:rPr>
        <w:t xml:space="preserve"> federal </w:t>
      </w:r>
      <w:r>
        <w:rPr>
          <w:b/>
          <w:i w:val="0"/>
          <w:smallCaps w:val="0"/>
          <w:strike w:val="0"/>
          <w:highlight w:val="cyan"/>
          <w:u w:val="single"/>
        </w:rPr>
        <w:t>court s</w:t>
      </w:r>
      <w:r>
        <w:rPr>
          <w:b/>
          <w:i w:val="0"/>
          <w:smallCaps w:val="0"/>
          <w:strike w:val="0"/>
          <w:u w:val="single"/>
        </w:rPr>
        <w:t>ystem</w:t>
      </w:r>
      <w:r>
        <w:rPr>
          <w:b w:val="0"/>
          <w:i w:val="0"/>
          <w:smallCaps w:val="0"/>
          <w:strike w:val="0"/>
          <w:u w:val="single"/>
        </w:rPr>
        <w:t xml:space="preserve"> while strengthening the underlying spirit of the Act</w:t>
      </w:r>
      <w:r>
        <w:rPr>
          <w:b w:val="0"/>
          <w:i w:val="0"/>
          <w:smallCaps w:val="0"/>
          <w:strike w:val="0"/>
          <w:sz w:val="16"/>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